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35AB" w14:textId="46599D57" w:rsidR="00510906" w:rsidRPr="00510906" w:rsidRDefault="00510906" w:rsidP="00510906">
      <w:pPr>
        <w:pStyle w:val="paragraph"/>
        <w:spacing w:line="360" w:lineRule="auto"/>
        <w:textAlignment w:val="baseline"/>
        <w:rPr>
          <w:rFonts w:asciiTheme="minorHAnsi" w:hAnsiTheme="minorHAnsi"/>
          <w:sz w:val="26"/>
          <w:szCs w:val="26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PRESSEMELDUNG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r>
        <w:rPr>
          <w:rStyle w:val="normaltextrun"/>
          <w:rFonts w:asciiTheme="minorHAnsi" w:hAnsiTheme="minorHAnsi" w:cs="Arial"/>
          <w:b/>
          <w:bCs/>
          <w:sz w:val="26"/>
          <w:szCs w:val="26"/>
        </w:rPr>
        <w:t>STUTTGARTER INVESTMENTMARKT</w:t>
      </w:r>
      <w:r w:rsidR="00C36938"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 WEITERHIN MIT SCHWACHEM UMSATZ</w:t>
      </w:r>
      <w:r>
        <w:rPr>
          <w:rFonts w:asciiTheme="minorHAnsi" w:hAnsiTheme="minorHAnsi"/>
          <w:sz w:val="26"/>
          <w:szCs w:val="26"/>
        </w:rPr>
        <w:br/>
      </w:r>
      <w:r w:rsidR="006B1FAF">
        <w:rPr>
          <w:rStyle w:val="normaltextrun"/>
          <w:rFonts w:asciiTheme="minorHAnsi" w:hAnsiTheme="minorHAnsi" w:cs="Arial"/>
          <w:b/>
          <w:bCs/>
          <w:sz w:val="26"/>
          <w:szCs w:val="26"/>
        </w:rPr>
        <w:t>Transaktionsvolumen von 410 Mio. € in den ersten drei Quartalen</w:t>
      </w:r>
    </w:p>
    <w:bookmarkEnd w:id="0"/>
    <w:p w14:paraId="0B72827C" w14:textId="03FB0BC1" w:rsidR="00510906" w:rsidRPr="00D138C5" w:rsidRDefault="00510906" w:rsidP="00510906">
      <w:pPr>
        <w:pStyle w:val="paragraph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Arial"/>
          <w:b/>
          <w:bCs/>
          <w:sz w:val="22"/>
          <w:szCs w:val="22"/>
        </w:rPr>
        <w:br/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Stuttgart, </w:t>
      </w:r>
      <w:r w:rsidR="006B1FAF">
        <w:rPr>
          <w:rStyle w:val="normaltextrun"/>
          <w:rFonts w:ascii="Calibri" w:hAnsi="Calibri" w:cs="Arial"/>
          <w:b/>
          <w:bCs/>
          <w:sz w:val="22"/>
          <w:szCs w:val="22"/>
        </w:rPr>
        <w:t>29</w:t>
      </w:r>
      <w:r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. </w:t>
      </w:r>
      <w:r w:rsidR="00C36938">
        <w:rPr>
          <w:rStyle w:val="normaltextrun"/>
          <w:rFonts w:ascii="Calibri" w:hAnsi="Calibri" w:cs="Arial"/>
          <w:b/>
          <w:bCs/>
          <w:sz w:val="22"/>
          <w:szCs w:val="22"/>
        </w:rPr>
        <w:t>September</w:t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Arial"/>
          <w:b/>
          <w:bCs/>
          <w:sz w:val="22"/>
          <w:szCs w:val="22"/>
        </w:rPr>
        <w:t>202</w:t>
      </w:r>
      <w:r w:rsidR="006B1FAF">
        <w:rPr>
          <w:rStyle w:val="normaltextrun"/>
          <w:rFonts w:ascii="Calibri" w:hAnsi="Calibri" w:cs="Arial"/>
          <w:b/>
          <w:bCs/>
          <w:sz w:val="22"/>
          <w:szCs w:val="22"/>
        </w:rPr>
        <w:t>3</w:t>
      </w:r>
      <w:r w:rsidR="00412216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- </w:t>
      </w:r>
      <w:bookmarkStart w:id="1" w:name="_Hlk146805088"/>
      <w:r w:rsidR="006B1FAF" w:rsidRPr="00D138C5">
        <w:rPr>
          <w:rStyle w:val="normaltextrun"/>
          <w:rFonts w:ascii="Calibri" w:hAnsi="Calibri" w:cs="Arial"/>
          <w:sz w:val="22"/>
          <w:szCs w:val="22"/>
        </w:rPr>
        <w:t>Auf dem Stuttgarter Immobilien-Investmentmarkt wurden im</w:t>
      </w:r>
      <w:r w:rsidR="006B1FAF">
        <w:rPr>
          <w:rStyle w:val="normaltextrun"/>
          <w:rFonts w:ascii="Calibri" w:hAnsi="Calibri" w:cs="Arial"/>
          <w:sz w:val="22"/>
          <w:szCs w:val="22"/>
        </w:rPr>
        <w:t xml:space="preserve"> 3. </w:t>
      </w:r>
      <w:r w:rsidR="006B1FAF" w:rsidRPr="00D138C5">
        <w:rPr>
          <w:rStyle w:val="normaltextrun"/>
          <w:rFonts w:ascii="Calibri" w:hAnsi="Calibri" w:cs="Arial"/>
          <w:sz w:val="22"/>
          <w:szCs w:val="22"/>
        </w:rPr>
        <w:t xml:space="preserve">Quartal </w:t>
      </w:r>
      <w:r w:rsidR="006B1FAF">
        <w:rPr>
          <w:rStyle w:val="normaltextrun"/>
          <w:rFonts w:ascii="Calibri" w:hAnsi="Calibri" w:cs="Arial"/>
          <w:sz w:val="22"/>
          <w:szCs w:val="22"/>
        </w:rPr>
        <w:t>2023</w:t>
      </w:r>
      <w:r w:rsidR="006B1FAF" w:rsidRPr="00D138C5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6B1FAF">
        <w:rPr>
          <w:rStyle w:val="normaltextrun"/>
          <w:rFonts w:ascii="Calibri" w:hAnsi="Calibri" w:cs="Arial"/>
          <w:sz w:val="22"/>
          <w:szCs w:val="22"/>
        </w:rPr>
        <w:t xml:space="preserve">nur </w:t>
      </w:r>
      <w:r w:rsidR="004A2826">
        <w:rPr>
          <w:rStyle w:val="normaltextrun"/>
          <w:rFonts w:ascii="Calibri" w:hAnsi="Calibri" w:cs="Arial"/>
          <w:sz w:val="22"/>
          <w:szCs w:val="22"/>
        </w:rPr>
        <w:t xml:space="preserve">rund </w:t>
      </w:r>
      <w:r w:rsidR="006B1FAF">
        <w:rPr>
          <w:rStyle w:val="normaltextrun"/>
          <w:rFonts w:ascii="Calibri" w:hAnsi="Calibri" w:cs="Arial"/>
          <w:sz w:val="22"/>
          <w:szCs w:val="22"/>
        </w:rPr>
        <w:t>50</w:t>
      </w:r>
      <w:r w:rsidR="006B1FAF" w:rsidRPr="00D138C5">
        <w:rPr>
          <w:rStyle w:val="normaltextrun"/>
          <w:rFonts w:ascii="Calibri" w:hAnsi="Calibri" w:cs="Arial"/>
          <w:sz w:val="22"/>
          <w:szCs w:val="22"/>
        </w:rPr>
        <w:t xml:space="preserve"> Mi</w:t>
      </w:r>
      <w:r w:rsidR="006B1FAF">
        <w:rPr>
          <w:rStyle w:val="normaltextrun"/>
          <w:rFonts w:ascii="Calibri" w:hAnsi="Calibri" w:cs="Arial"/>
          <w:sz w:val="22"/>
          <w:szCs w:val="22"/>
        </w:rPr>
        <w:t>o.</w:t>
      </w:r>
      <w:r w:rsidR="006B1FAF" w:rsidRPr="00D138C5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6B1FAF">
        <w:rPr>
          <w:rStyle w:val="normaltextrun"/>
          <w:rFonts w:ascii="Calibri" w:hAnsi="Calibri" w:cs="Arial"/>
          <w:sz w:val="22"/>
          <w:szCs w:val="22"/>
        </w:rPr>
        <w:t>€</w:t>
      </w:r>
      <w:r w:rsidR="006B1FAF" w:rsidRPr="00D138C5">
        <w:rPr>
          <w:rStyle w:val="normaltextrun"/>
          <w:rFonts w:ascii="Calibri" w:hAnsi="Calibri" w:cs="Arial"/>
          <w:sz w:val="22"/>
          <w:szCs w:val="22"/>
        </w:rPr>
        <w:t xml:space="preserve"> investiert</w:t>
      </w:r>
      <w:r w:rsidR="006B1FAF">
        <w:rPr>
          <w:rStyle w:val="normaltextrun"/>
          <w:rFonts w:ascii="Calibri" w:hAnsi="Calibri" w:cs="Arial"/>
          <w:sz w:val="22"/>
          <w:szCs w:val="22"/>
        </w:rPr>
        <w:t xml:space="preserve"> und damit nur etwa ein Fünftel des Vorjahresquartals</w:t>
      </w:r>
      <w:r w:rsidR="006B1FAF" w:rsidRPr="00D138C5">
        <w:rPr>
          <w:rStyle w:val="normaltextrun"/>
          <w:rFonts w:ascii="Calibri" w:hAnsi="Calibri" w:cs="Arial"/>
          <w:sz w:val="22"/>
          <w:szCs w:val="22"/>
        </w:rPr>
        <w:t>.</w:t>
      </w:r>
      <w:r w:rsidR="006B1FAF">
        <w:rPr>
          <w:rStyle w:val="normaltextrun"/>
          <w:rFonts w:ascii="Calibri" w:hAnsi="Calibri" w:cs="Arial"/>
          <w:sz w:val="22"/>
          <w:szCs w:val="22"/>
        </w:rPr>
        <w:t xml:space="preserve"> </w:t>
      </w:r>
      <w:r>
        <w:rPr>
          <w:rStyle w:val="normaltextrun"/>
          <w:rFonts w:ascii="Calibri" w:hAnsi="Calibri" w:cs="Arial"/>
          <w:sz w:val="22"/>
          <w:szCs w:val="22"/>
        </w:rPr>
        <w:t xml:space="preserve">Zusammen mit dem 1. </w:t>
      </w:r>
      <w:r w:rsidR="00C36938">
        <w:rPr>
          <w:rStyle w:val="normaltextrun"/>
          <w:rFonts w:ascii="Calibri" w:hAnsi="Calibri" w:cs="Arial"/>
          <w:sz w:val="22"/>
          <w:szCs w:val="22"/>
        </w:rPr>
        <w:t>Halbjahr</w:t>
      </w:r>
      <w:r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C36938">
        <w:rPr>
          <w:rStyle w:val="normaltextrun"/>
          <w:rFonts w:ascii="Calibri" w:hAnsi="Calibri" w:cs="Arial"/>
          <w:sz w:val="22"/>
          <w:szCs w:val="22"/>
        </w:rPr>
        <w:t>entspricht</w:t>
      </w:r>
      <w:r>
        <w:rPr>
          <w:rStyle w:val="normaltextrun"/>
          <w:rFonts w:ascii="Calibri" w:hAnsi="Calibri" w:cs="Arial"/>
          <w:sz w:val="22"/>
          <w:szCs w:val="22"/>
        </w:rPr>
        <w:t xml:space="preserve"> das Transaktionsvolumen </w:t>
      </w:r>
      <w:r w:rsidR="00C36938">
        <w:rPr>
          <w:rStyle w:val="normaltextrun"/>
          <w:rFonts w:ascii="Calibri" w:hAnsi="Calibri" w:cs="Arial"/>
          <w:sz w:val="22"/>
          <w:szCs w:val="22"/>
        </w:rPr>
        <w:t>in den ersten drei Quartalen</w:t>
      </w:r>
      <w:r>
        <w:rPr>
          <w:rStyle w:val="normaltextrun"/>
          <w:rFonts w:ascii="Calibri" w:hAnsi="Calibri" w:cs="Arial"/>
          <w:sz w:val="22"/>
          <w:szCs w:val="22"/>
        </w:rPr>
        <w:t xml:space="preserve"> 202</w:t>
      </w:r>
      <w:r w:rsidR="006B1FAF">
        <w:rPr>
          <w:rStyle w:val="normaltextrun"/>
          <w:rFonts w:ascii="Calibri" w:hAnsi="Calibri" w:cs="Arial"/>
          <w:sz w:val="22"/>
          <w:szCs w:val="22"/>
        </w:rPr>
        <w:t>3</w:t>
      </w:r>
      <w:r>
        <w:rPr>
          <w:rStyle w:val="normaltextrun"/>
          <w:rFonts w:ascii="Calibri" w:hAnsi="Calibri" w:cs="Arial"/>
          <w:sz w:val="22"/>
          <w:szCs w:val="22"/>
        </w:rPr>
        <w:t xml:space="preserve"> mit ca. </w:t>
      </w:r>
      <w:r w:rsidR="006B1FAF">
        <w:rPr>
          <w:rStyle w:val="normaltextrun"/>
          <w:rFonts w:ascii="Calibri" w:hAnsi="Calibri" w:cs="Arial"/>
          <w:sz w:val="22"/>
          <w:szCs w:val="22"/>
        </w:rPr>
        <w:t>410</w:t>
      </w:r>
      <w:r>
        <w:rPr>
          <w:rStyle w:val="normaltextrun"/>
          <w:rFonts w:ascii="Calibri" w:hAnsi="Calibri" w:cs="Arial"/>
          <w:sz w:val="22"/>
          <w:szCs w:val="22"/>
        </w:rPr>
        <w:t xml:space="preserve"> Mio. € </w:t>
      </w:r>
      <w:r w:rsidR="006B1FAF">
        <w:rPr>
          <w:rStyle w:val="normaltextrun"/>
          <w:rFonts w:ascii="Calibri" w:hAnsi="Calibri" w:cs="Arial"/>
          <w:sz w:val="22"/>
          <w:szCs w:val="22"/>
        </w:rPr>
        <w:t>nicht einmal der Hälfte</w:t>
      </w:r>
      <w:r w:rsidR="00C36938">
        <w:rPr>
          <w:rStyle w:val="normaltextrun"/>
          <w:rFonts w:ascii="Calibri" w:hAnsi="Calibri" w:cs="Arial"/>
          <w:sz w:val="22"/>
          <w:szCs w:val="22"/>
        </w:rPr>
        <w:t xml:space="preserve"> </w:t>
      </w:r>
      <w:r>
        <w:rPr>
          <w:rStyle w:val="normaltextrun"/>
          <w:rFonts w:ascii="Calibri" w:hAnsi="Calibri" w:cs="Arial"/>
          <w:sz w:val="22"/>
          <w:szCs w:val="22"/>
        </w:rPr>
        <w:t>Vorjahreszeitraum</w:t>
      </w:r>
      <w:r w:rsidR="006B1FAF">
        <w:rPr>
          <w:rStyle w:val="normaltextrun"/>
          <w:rFonts w:ascii="Calibri" w:hAnsi="Calibri" w:cs="Arial"/>
          <w:sz w:val="22"/>
          <w:szCs w:val="22"/>
        </w:rPr>
        <w:t>s, in dem rund 900 Mio. € umgesetzt wurden.</w:t>
      </w:r>
      <w:r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Das sind die </w:t>
      </w:r>
      <w:r>
        <w:rPr>
          <w:rStyle w:val="normaltextrun"/>
          <w:rFonts w:ascii="Calibri" w:hAnsi="Calibri" w:cs="Arial"/>
          <w:sz w:val="22"/>
          <w:szCs w:val="22"/>
        </w:rPr>
        <w:t xml:space="preserve">aktuellen </w:t>
      </w:r>
      <w:r w:rsidRPr="00D138C5">
        <w:rPr>
          <w:rStyle w:val="normaltextrun"/>
          <w:rFonts w:ascii="Calibri" w:hAnsi="Calibri" w:cs="Arial"/>
          <w:sz w:val="22"/>
          <w:szCs w:val="22"/>
        </w:rPr>
        <w:t>Ergebnisse der Erhebungen von E &amp; G Real Estate für den Investmentmarkt Stuttgart.</w:t>
      </w:r>
      <w:r w:rsidRPr="00D138C5">
        <w:rPr>
          <w:rStyle w:val="eop"/>
          <w:rFonts w:ascii="Calibri" w:hAnsi="Calibri" w:cs="Arial"/>
          <w:sz w:val="22"/>
          <w:szCs w:val="22"/>
        </w:rPr>
        <w:t> </w:t>
      </w:r>
      <w:bookmarkEnd w:id="1"/>
    </w:p>
    <w:p w14:paraId="43048DE9" w14:textId="33A7701C" w:rsidR="00510906" w:rsidRDefault="00510906" w:rsidP="00510906">
      <w:pPr>
        <w:pStyle w:val="paragraph"/>
        <w:spacing w:line="360" w:lineRule="auto"/>
        <w:jc w:val="both"/>
        <w:textAlignment w:val="baseline"/>
        <w:rPr>
          <w:rStyle w:val="normaltextrun"/>
          <w:rFonts w:ascii="Calibri" w:hAnsi="Calibri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„</w:t>
      </w:r>
      <w:r w:rsidR="006B1FAF" w:rsidRPr="00412216">
        <w:rPr>
          <w:rStyle w:val="normaltextrun"/>
          <w:rFonts w:ascii="Calibri" w:hAnsi="Calibri" w:cs="Arial"/>
          <w:i/>
          <w:iCs/>
          <w:sz w:val="22"/>
          <w:szCs w:val="22"/>
        </w:rPr>
        <w:t>Über die Sommermonate hat die Transaktionstätigkeit weiter abgenommen.</w:t>
      </w:r>
      <w:r w:rsidR="00C36938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B1FAF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Viele Investoren agieren weiterhin abwartend, in der Hoffnung</w:t>
      </w:r>
      <w:r w:rsidR="004A14BE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,</w:t>
      </w:r>
      <w:r w:rsidR="006B1FAF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dass weitere Zinserhöhungen erstmal ausbleiben und die Preisbildung vollzogen werden kann</w:t>
      </w:r>
      <w:r w:rsidR="004A14BE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.</w:t>
      </w:r>
      <w:r w:rsidR="006B1FAF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A14BE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Für das</w:t>
      </w:r>
      <w:r w:rsidR="00993915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4. Quartal </w:t>
      </w:r>
      <w:r w:rsidR="004A14BE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wird</w:t>
      </w:r>
      <w:r w:rsidR="004A14BE" w:rsidRPr="00412216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mit einer Zunahme der Transaktionstätigkeit gerechnet, allerdings sind vor allem Umsätze im kleinvolumigen Bereich zu erwarten.</w:t>
      </w:r>
      <w:r w:rsidR="004A14BE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Ein klassischer </w:t>
      </w:r>
      <w:r w:rsid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Endspurt ist </w:t>
      </w:r>
      <w:r w:rsidR="004A14BE" w:rsidRPr="0041221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für das 4. Quartal nicht in Aussicht</w:t>
      </w:r>
      <w:r w:rsidR="004A14BE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>
        <w:rPr>
          <w:rStyle w:val="normaltextrun"/>
          <w:rFonts w:ascii="Calibri" w:hAnsi="Calibri" w:cs="Arial"/>
          <w:sz w:val="22"/>
          <w:szCs w:val="22"/>
        </w:rPr>
        <w:t xml:space="preserve">“, berichtet Björn Holzwarth, geschäftsführender Gesellschafter der E &amp; G Real Estate GmbH. </w:t>
      </w:r>
    </w:p>
    <w:p w14:paraId="12CC15AD" w14:textId="3984A6F5" w:rsidR="00E3217D" w:rsidRPr="00D138C5" w:rsidRDefault="00510906" w:rsidP="00E3217D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Times New Roman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 xml:space="preserve">Insgesamt wurden </w:t>
      </w:r>
      <w:r w:rsidR="00BC1F52">
        <w:rPr>
          <w:rFonts w:ascii="Calibri" w:eastAsia="Times New Roman" w:hAnsi="Calibri" w:cs="Arial"/>
          <w:lang w:eastAsia="de-DE"/>
        </w:rPr>
        <w:t>in den ersten drei Quartalen</w:t>
      </w:r>
      <w:r w:rsidRPr="00D138C5">
        <w:rPr>
          <w:rFonts w:ascii="Calibri" w:eastAsia="Times New Roman" w:hAnsi="Calibri" w:cs="Arial"/>
          <w:lang w:eastAsia="de-DE"/>
        </w:rPr>
        <w:t xml:space="preserve"> </w:t>
      </w:r>
      <w:r w:rsidR="004A14BE">
        <w:rPr>
          <w:rFonts w:ascii="Calibri" w:eastAsia="Times New Roman" w:hAnsi="Calibri" w:cs="Arial"/>
          <w:lang w:eastAsia="de-DE"/>
        </w:rPr>
        <w:t>nur rund 15 maßgebliche</w:t>
      </w:r>
      <w:r w:rsidRPr="00D138C5">
        <w:rPr>
          <w:rFonts w:ascii="Calibri" w:eastAsia="Times New Roman" w:hAnsi="Calibri" w:cs="Arial"/>
          <w:lang w:eastAsia="de-DE"/>
        </w:rPr>
        <w:t xml:space="preserve"> Transaktionen getätigt. </w:t>
      </w:r>
      <w:r w:rsidR="00E3217D">
        <w:rPr>
          <w:rFonts w:ascii="Calibri" w:eastAsia="Times New Roman" w:hAnsi="Calibri" w:cs="Arial"/>
          <w:lang w:eastAsia="de-DE"/>
        </w:rPr>
        <w:t>Durch den Verkauf der Calwer Passage lag d</w:t>
      </w:r>
      <w:r w:rsidR="00E3217D" w:rsidRPr="00D138C5">
        <w:rPr>
          <w:rFonts w:ascii="Calibri" w:eastAsia="Times New Roman" w:hAnsi="Calibri" w:cs="Arial"/>
          <w:lang w:eastAsia="de-DE"/>
        </w:rPr>
        <w:t xml:space="preserve">er Fokus der Investoren auf </w:t>
      </w:r>
      <w:r w:rsidR="00E3217D">
        <w:rPr>
          <w:rFonts w:ascii="Calibri" w:eastAsia="Times New Roman" w:hAnsi="Calibri" w:cs="Arial"/>
          <w:lang w:eastAsia="de-DE"/>
        </w:rPr>
        <w:t xml:space="preserve">gemischt genutzten Immobilien </w:t>
      </w:r>
      <w:r w:rsidR="00E3217D" w:rsidRPr="00D138C5">
        <w:rPr>
          <w:rFonts w:ascii="Calibri" w:eastAsia="Times New Roman" w:hAnsi="Calibri" w:cs="Arial"/>
          <w:lang w:eastAsia="de-DE"/>
        </w:rPr>
        <w:t xml:space="preserve">mit </w:t>
      </w:r>
      <w:r w:rsidR="00E3217D">
        <w:rPr>
          <w:rFonts w:ascii="Calibri" w:eastAsia="Times New Roman" w:hAnsi="Calibri" w:cs="Arial"/>
          <w:lang w:eastAsia="de-DE"/>
        </w:rPr>
        <w:t>etwa</w:t>
      </w:r>
      <w:r w:rsidR="00E3217D" w:rsidRPr="00D138C5">
        <w:rPr>
          <w:rFonts w:ascii="Calibri" w:eastAsia="Times New Roman" w:hAnsi="Calibri" w:cs="Arial"/>
          <w:lang w:eastAsia="de-DE"/>
        </w:rPr>
        <w:t xml:space="preserve"> </w:t>
      </w:r>
      <w:r w:rsidR="00E3217D">
        <w:rPr>
          <w:rFonts w:ascii="Calibri" w:eastAsia="Times New Roman" w:hAnsi="Calibri" w:cs="Arial"/>
          <w:lang w:eastAsia="de-DE"/>
        </w:rPr>
        <w:t>45</w:t>
      </w:r>
      <w:r w:rsidR="00E3217D" w:rsidRPr="00D138C5">
        <w:rPr>
          <w:rFonts w:ascii="Calibri" w:eastAsia="Times New Roman" w:hAnsi="Calibri" w:cs="Arial"/>
          <w:lang w:eastAsia="de-DE"/>
        </w:rPr>
        <w:t xml:space="preserve"> </w:t>
      </w:r>
      <w:r w:rsidR="00E3217D">
        <w:rPr>
          <w:rFonts w:ascii="Calibri" w:eastAsia="Times New Roman" w:hAnsi="Calibri" w:cs="Arial"/>
          <w:lang w:eastAsia="de-DE"/>
        </w:rPr>
        <w:t>%</w:t>
      </w:r>
      <w:r w:rsidR="00E3217D" w:rsidRPr="00D138C5">
        <w:rPr>
          <w:rFonts w:ascii="Calibri" w:eastAsia="Times New Roman" w:hAnsi="Calibri" w:cs="Arial"/>
          <w:lang w:eastAsia="de-DE"/>
        </w:rPr>
        <w:t xml:space="preserve"> Anteil am Transaktionsvolumen</w:t>
      </w:r>
      <w:r w:rsidR="00E3217D">
        <w:rPr>
          <w:rFonts w:ascii="Calibri" w:eastAsia="Times New Roman" w:hAnsi="Calibri" w:cs="Arial"/>
          <w:lang w:eastAsia="de-DE"/>
        </w:rPr>
        <w:t xml:space="preserve">. Büroimmobilien folgten mit einem Anteil von ca. 32 %, gewerbliche Grundstücke mit ca. </w:t>
      </w:r>
      <w:r w:rsidR="00412216">
        <w:rPr>
          <w:rFonts w:ascii="Calibri" w:eastAsia="Times New Roman" w:hAnsi="Calibri" w:cs="Arial"/>
          <w:lang w:eastAsia="de-DE"/>
        </w:rPr>
        <w:t xml:space="preserve">19 </w:t>
      </w:r>
      <w:r w:rsidR="00E3217D">
        <w:rPr>
          <w:rFonts w:ascii="Calibri" w:eastAsia="Times New Roman" w:hAnsi="Calibri" w:cs="Arial"/>
          <w:lang w:eastAsia="de-DE"/>
        </w:rPr>
        <w:t>%.</w:t>
      </w:r>
    </w:p>
    <w:p w14:paraId="4284D577" w14:textId="09504712" w:rsidR="00510906" w:rsidRDefault="00510906" w:rsidP="00510906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 xml:space="preserve">Als Käufer waren </w:t>
      </w:r>
      <w:r w:rsidR="00E3217D">
        <w:rPr>
          <w:rFonts w:ascii="Calibri" w:eastAsia="Times New Roman" w:hAnsi="Calibri" w:cs="Arial"/>
          <w:lang w:eastAsia="de-DE"/>
        </w:rPr>
        <w:t>Versicherungen</w:t>
      </w:r>
      <w:r>
        <w:rPr>
          <w:rFonts w:ascii="Calibri" w:eastAsia="Times New Roman" w:hAnsi="Calibri" w:cs="Arial"/>
          <w:lang w:eastAsia="de-DE"/>
        </w:rPr>
        <w:t xml:space="preserve"> mit rund </w:t>
      </w:r>
      <w:r w:rsidR="00E3217D">
        <w:rPr>
          <w:rFonts w:ascii="Calibri" w:eastAsia="Times New Roman" w:hAnsi="Calibri" w:cs="Arial"/>
          <w:lang w:eastAsia="de-DE"/>
        </w:rPr>
        <w:t>37</w:t>
      </w:r>
      <w:r>
        <w:rPr>
          <w:rFonts w:ascii="Calibri" w:eastAsia="Times New Roman" w:hAnsi="Calibri" w:cs="Arial"/>
          <w:lang w:eastAsia="de-DE"/>
        </w:rPr>
        <w:t xml:space="preserve"> % Anteil am Transaktionsvolumen die dominierende Gruppe. Einen weiteren bedeutenden Anteil am Investmentmarkt hatten </w:t>
      </w:r>
      <w:r w:rsidR="00E3217D">
        <w:rPr>
          <w:rFonts w:ascii="Calibri" w:eastAsia="Times New Roman" w:hAnsi="Calibri" w:cs="Arial"/>
          <w:lang w:eastAsia="de-DE"/>
        </w:rPr>
        <w:t>die öffentliche Hand</w:t>
      </w:r>
      <w:r>
        <w:rPr>
          <w:rFonts w:ascii="Calibri" w:eastAsia="Times New Roman" w:hAnsi="Calibri" w:cs="Arial"/>
          <w:lang w:eastAsia="de-DE"/>
        </w:rPr>
        <w:t xml:space="preserve"> mit </w:t>
      </w:r>
      <w:r w:rsidR="00BC1F52">
        <w:rPr>
          <w:rFonts w:ascii="Calibri" w:eastAsia="Times New Roman" w:hAnsi="Calibri" w:cs="Arial"/>
          <w:lang w:eastAsia="de-DE"/>
        </w:rPr>
        <w:t>etwa</w:t>
      </w:r>
      <w:r>
        <w:rPr>
          <w:rFonts w:ascii="Calibri" w:eastAsia="Times New Roman" w:hAnsi="Calibri" w:cs="Arial"/>
          <w:lang w:eastAsia="de-DE"/>
        </w:rPr>
        <w:t xml:space="preserve"> </w:t>
      </w:r>
      <w:r w:rsidR="00E3217D">
        <w:rPr>
          <w:rFonts w:ascii="Calibri" w:eastAsia="Times New Roman" w:hAnsi="Calibri" w:cs="Arial"/>
          <w:lang w:eastAsia="de-DE"/>
        </w:rPr>
        <w:t>23</w:t>
      </w:r>
      <w:r>
        <w:rPr>
          <w:rFonts w:ascii="Calibri" w:eastAsia="Times New Roman" w:hAnsi="Calibri" w:cs="Arial"/>
          <w:lang w:eastAsia="de-DE"/>
        </w:rPr>
        <w:t xml:space="preserve"> % und </w:t>
      </w:r>
      <w:r w:rsidR="00E3217D">
        <w:rPr>
          <w:rFonts w:ascii="Calibri" w:eastAsia="Times New Roman" w:hAnsi="Calibri" w:cs="Arial"/>
          <w:lang w:eastAsia="de-DE"/>
        </w:rPr>
        <w:t>private Anleger sowie Opportunity Fonds</w:t>
      </w:r>
      <w:r>
        <w:rPr>
          <w:rFonts w:ascii="Calibri" w:eastAsia="Times New Roman" w:hAnsi="Calibri" w:cs="Arial"/>
          <w:lang w:eastAsia="de-DE"/>
        </w:rPr>
        <w:t xml:space="preserve"> mit etwa </w:t>
      </w:r>
      <w:r w:rsidR="00E3217D">
        <w:rPr>
          <w:rFonts w:ascii="Calibri" w:eastAsia="Times New Roman" w:hAnsi="Calibri" w:cs="Arial"/>
          <w:lang w:eastAsia="de-DE"/>
        </w:rPr>
        <w:t>10</w:t>
      </w:r>
      <w:r>
        <w:rPr>
          <w:rFonts w:ascii="Calibri" w:eastAsia="Times New Roman" w:hAnsi="Calibri" w:cs="Arial"/>
          <w:lang w:eastAsia="de-DE"/>
        </w:rPr>
        <w:t xml:space="preserve"> % Marktanteil. </w:t>
      </w:r>
    </w:p>
    <w:p w14:paraId="23B7BE30" w14:textId="0E438489" w:rsidR="00C757D1" w:rsidRDefault="00C757D1" w:rsidP="00C757D1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 xml:space="preserve">Auf der Verkäuferseite waren </w:t>
      </w:r>
      <w:r>
        <w:rPr>
          <w:rFonts w:ascii="Calibri" w:eastAsia="Times New Roman" w:hAnsi="Calibri" w:cs="Arial"/>
          <w:lang w:eastAsia="de-DE"/>
        </w:rPr>
        <w:t xml:space="preserve">Privateigentümer/Family Offices </w:t>
      </w:r>
      <w:r w:rsidRPr="00D138C5">
        <w:rPr>
          <w:rFonts w:ascii="Calibri" w:eastAsia="Times New Roman" w:hAnsi="Calibri" w:cs="Arial"/>
          <w:lang w:eastAsia="de-DE"/>
        </w:rPr>
        <w:t xml:space="preserve">mit einem Anteil von etwa </w:t>
      </w:r>
      <w:r>
        <w:rPr>
          <w:rFonts w:ascii="Calibri" w:eastAsia="Times New Roman" w:hAnsi="Calibri" w:cs="Arial"/>
          <w:lang w:eastAsia="de-DE"/>
        </w:rPr>
        <w:t>47</w:t>
      </w:r>
      <w:r w:rsidRPr="00D138C5">
        <w:rPr>
          <w:rFonts w:ascii="Calibri" w:eastAsia="Times New Roman" w:hAnsi="Calibri" w:cs="Arial"/>
          <w:lang w:eastAsia="de-DE"/>
        </w:rPr>
        <w:t xml:space="preserve"> </w:t>
      </w:r>
      <w:r>
        <w:rPr>
          <w:rFonts w:ascii="Calibri" w:eastAsia="Times New Roman" w:hAnsi="Calibri" w:cs="Arial"/>
          <w:lang w:eastAsia="de-DE"/>
        </w:rPr>
        <w:t>%</w:t>
      </w:r>
      <w:r w:rsidRPr="00D138C5">
        <w:rPr>
          <w:rFonts w:ascii="Calibri" w:eastAsia="Times New Roman" w:hAnsi="Calibri" w:cs="Arial"/>
          <w:lang w:eastAsia="de-DE"/>
        </w:rPr>
        <w:t xml:space="preserve"> am Transaktionsvolumen </w:t>
      </w:r>
      <w:r>
        <w:rPr>
          <w:rFonts w:ascii="Calibri" w:eastAsia="Times New Roman" w:hAnsi="Calibri" w:cs="Arial"/>
          <w:lang w:eastAsia="de-DE"/>
        </w:rPr>
        <w:t>e</w:t>
      </w:r>
      <w:r w:rsidRPr="00D138C5">
        <w:rPr>
          <w:rFonts w:ascii="Calibri" w:eastAsia="Times New Roman" w:hAnsi="Calibri" w:cs="Arial"/>
          <w:lang w:eastAsia="de-DE"/>
        </w:rPr>
        <w:t xml:space="preserve">indeutig dominierend, gefolgt von </w:t>
      </w:r>
      <w:r>
        <w:rPr>
          <w:rFonts w:ascii="Calibri" w:eastAsia="Times New Roman" w:hAnsi="Calibri" w:cs="Arial"/>
          <w:lang w:eastAsia="de-DE"/>
        </w:rPr>
        <w:t xml:space="preserve">börsennotierten Immobilien AGs mit rund 14 % </w:t>
      </w:r>
      <w:r w:rsidRPr="00D138C5">
        <w:rPr>
          <w:rFonts w:ascii="Calibri" w:eastAsia="Times New Roman" w:hAnsi="Calibri" w:cs="Arial"/>
          <w:lang w:eastAsia="de-DE"/>
        </w:rPr>
        <w:t>Marktanteil</w:t>
      </w:r>
      <w:r>
        <w:rPr>
          <w:rFonts w:ascii="Calibri" w:eastAsia="Times New Roman" w:hAnsi="Calibri" w:cs="Arial"/>
          <w:lang w:eastAsia="de-DE"/>
        </w:rPr>
        <w:t xml:space="preserve"> und Fondsmanagern mit etwa 13 %</w:t>
      </w:r>
      <w:r w:rsidRPr="00D138C5">
        <w:rPr>
          <w:rFonts w:ascii="Calibri" w:eastAsia="Times New Roman" w:hAnsi="Calibri" w:cs="Arial"/>
          <w:lang w:eastAsia="de-DE"/>
        </w:rPr>
        <w:t>.</w:t>
      </w:r>
      <w:r>
        <w:rPr>
          <w:rFonts w:ascii="Calibri" w:eastAsia="Times New Roman" w:hAnsi="Calibri" w:cs="Arial"/>
          <w:lang w:eastAsia="de-DE"/>
        </w:rPr>
        <w:t xml:space="preserve"> Alle anderen Marktteilnehmer spielten nur eine untergeordnete Rolle.</w:t>
      </w:r>
    </w:p>
    <w:p w14:paraId="2023CC64" w14:textId="6C38A577" w:rsidR="00C757D1" w:rsidRPr="009F7762" w:rsidRDefault="00C757D1" w:rsidP="00C757D1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lastRenderedPageBreak/>
        <w:t> „</w:t>
      </w:r>
      <w:r w:rsidRPr="00412216">
        <w:rPr>
          <w:rFonts w:ascii="Calibri" w:eastAsia="Times New Roman" w:hAnsi="Calibri" w:cs="Arial"/>
          <w:i/>
          <w:iCs/>
          <w:lang w:eastAsia="de-DE"/>
        </w:rPr>
        <w:t>Aufgrund der geringen Anzahl an großvolumigen Produkten im Markt und der aktuellen Transaktionsdauer muss das prognostizierte Transaktionsvolumen von 750 Mio. € reduziert werden.</w:t>
      </w:r>
      <w:r w:rsidRPr="00D138C5">
        <w:rPr>
          <w:rFonts w:ascii="Calibri" w:eastAsia="Times New Roman" w:hAnsi="Calibri" w:cs="Arial"/>
          <w:lang w:eastAsia="de-DE"/>
        </w:rPr>
        <w:t xml:space="preserve">“, sagt Holzwarth. </w:t>
      </w:r>
      <w:r w:rsidRPr="00412216">
        <w:rPr>
          <w:rFonts w:ascii="Calibri" w:eastAsia="Times New Roman" w:hAnsi="Calibri" w:cs="Arial"/>
          <w:i/>
          <w:iCs/>
          <w:lang w:eastAsia="de-DE"/>
        </w:rPr>
        <w:t xml:space="preserve">„Es sei davon auszugehen, dass </w:t>
      </w:r>
      <w:r w:rsidR="00412216">
        <w:rPr>
          <w:rFonts w:ascii="Calibri" w:eastAsia="Times New Roman" w:hAnsi="Calibri" w:cs="Arial"/>
          <w:i/>
          <w:iCs/>
          <w:lang w:eastAsia="de-DE"/>
        </w:rPr>
        <w:t>2023</w:t>
      </w:r>
      <w:r w:rsidRPr="00412216">
        <w:rPr>
          <w:rFonts w:ascii="Calibri" w:eastAsia="Times New Roman" w:hAnsi="Calibri" w:cs="Arial"/>
          <w:i/>
          <w:iCs/>
          <w:lang w:eastAsia="de-DE"/>
        </w:rPr>
        <w:t xml:space="preserve"> ein Transaktionsvolumen von 600 bis 650 Mio. € erzielbar ist.“</w:t>
      </w:r>
      <w:r w:rsidRPr="00D138C5">
        <w:rPr>
          <w:rFonts w:ascii="Calibri" w:eastAsia="Times New Roman" w:hAnsi="Calibri" w:cs="Arial"/>
          <w:lang w:eastAsia="de-DE"/>
        </w:rPr>
        <w:t> </w:t>
      </w:r>
    </w:p>
    <w:p w14:paraId="6B47C4B4" w14:textId="77777777" w:rsidR="00AD2718" w:rsidRPr="00DB6152" w:rsidRDefault="00AD2718" w:rsidP="00AD2718">
      <w:pPr>
        <w:rPr>
          <w:rFonts w:cstheme="minorHAnsi"/>
          <w:color w:val="000000" w:themeColor="text1"/>
          <w:shd w:val="clear" w:color="auto" w:fill="FFFFFF"/>
        </w:rPr>
      </w:pPr>
    </w:p>
    <w:p w14:paraId="1A926697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bookmarkStart w:id="2" w:name="_Hlk98492384"/>
    </w:p>
    <w:p w14:paraId="423F81B2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2E09E0" w14:textId="076300B3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C1E8740" w14:textId="2528C626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8466EB5" w14:textId="3111DEFF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5A4B88A" w14:textId="6B48446F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E7644A8" w14:textId="2A34B9AC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3C3D0C1" w14:textId="4A2C4AB6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03B16B7" w14:textId="15E321DB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5968AF3" w14:textId="3B5D758D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B7383EF" w14:textId="699915E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0EA33F5" w14:textId="23D80D35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27F5D82" w14:textId="5B3300FE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EB9F607" w14:textId="4F2037A5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2038B43" w14:textId="7D02466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B53DF0B" w14:textId="3BA08C20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92C8D61" w14:textId="5D388F5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DDFD2EC" w14:textId="6EAB8B29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606A585" w14:textId="0808C273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318752A" w14:textId="77777777" w:rsidR="00510906" w:rsidRDefault="00510906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699403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569F31A" w14:textId="57E89BEE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1B2D52D" w14:textId="14A8DF6A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2D8FA499" w14:textId="1A6071C1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0F8C95E" w14:textId="6351BCDD" w:rsidR="007127F3" w:rsidRDefault="007127F3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1C76073" w14:textId="68CBEBE0" w:rsidR="007127F3" w:rsidRDefault="007127F3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224D0E1" w14:textId="096E4625" w:rsidR="007127F3" w:rsidRDefault="007127F3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6685BD66" w14:textId="33BFE898" w:rsidR="007127F3" w:rsidRDefault="007127F3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644AD054" w14:textId="77777777" w:rsidR="007127F3" w:rsidRDefault="007127F3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42BD3C8" w14:textId="5068A7F3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9FFFEB3" w14:textId="77777777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EA898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7A2800B1" w14:textId="4CDB08AC" w:rsidR="0033357E" w:rsidRDefault="003E5788" w:rsidP="00A62B07">
      <w:pPr>
        <w:spacing w:after="0" w:line="240" w:lineRule="auto"/>
        <w:rPr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2"/>
    <w:sectPr w:rsidR="0033357E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412216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412216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8252680">
    <w:abstractNumId w:val="3"/>
  </w:num>
  <w:num w:numId="2" w16cid:durableId="623192247">
    <w:abstractNumId w:val="8"/>
  </w:num>
  <w:num w:numId="3" w16cid:durableId="121507343">
    <w:abstractNumId w:val="2"/>
  </w:num>
  <w:num w:numId="4" w16cid:durableId="290526099">
    <w:abstractNumId w:val="1"/>
  </w:num>
  <w:num w:numId="5" w16cid:durableId="177160930">
    <w:abstractNumId w:val="4"/>
  </w:num>
  <w:num w:numId="6" w16cid:durableId="739327183">
    <w:abstractNumId w:val="5"/>
  </w:num>
  <w:num w:numId="7" w16cid:durableId="1720981266">
    <w:abstractNumId w:val="0"/>
  </w:num>
  <w:num w:numId="8" w16cid:durableId="842858624">
    <w:abstractNumId w:val="7"/>
  </w:num>
  <w:num w:numId="9" w16cid:durableId="535431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4416"/>
    <w:rsid w:val="000E53C4"/>
    <w:rsid w:val="00155FEF"/>
    <w:rsid w:val="001A76B4"/>
    <w:rsid w:val="001E631A"/>
    <w:rsid w:val="00231E7F"/>
    <w:rsid w:val="002670F8"/>
    <w:rsid w:val="002816C5"/>
    <w:rsid w:val="00286569"/>
    <w:rsid w:val="00292418"/>
    <w:rsid w:val="002F7E72"/>
    <w:rsid w:val="0033357E"/>
    <w:rsid w:val="00335E3C"/>
    <w:rsid w:val="00342840"/>
    <w:rsid w:val="003512B8"/>
    <w:rsid w:val="00356134"/>
    <w:rsid w:val="0039564C"/>
    <w:rsid w:val="003C279E"/>
    <w:rsid w:val="003E5788"/>
    <w:rsid w:val="00412216"/>
    <w:rsid w:val="0044548A"/>
    <w:rsid w:val="00463417"/>
    <w:rsid w:val="004A14BE"/>
    <w:rsid w:val="004A2826"/>
    <w:rsid w:val="00510906"/>
    <w:rsid w:val="00531A41"/>
    <w:rsid w:val="00537550"/>
    <w:rsid w:val="005A467D"/>
    <w:rsid w:val="005C004B"/>
    <w:rsid w:val="005C506C"/>
    <w:rsid w:val="005D164A"/>
    <w:rsid w:val="0064279E"/>
    <w:rsid w:val="006907E9"/>
    <w:rsid w:val="006A30B5"/>
    <w:rsid w:val="006B1FAF"/>
    <w:rsid w:val="006D656E"/>
    <w:rsid w:val="006E4F31"/>
    <w:rsid w:val="006F3CDF"/>
    <w:rsid w:val="007127F3"/>
    <w:rsid w:val="00734289"/>
    <w:rsid w:val="00743FA5"/>
    <w:rsid w:val="00760714"/>
    <w:rsid w:val="00765EE5"/>
    <w:rsid w:val="007B4B5B"/>
    <w:rsid w:val="007F6D26"/>
    <w:rsid w:val="0081387F"/>
    <w:rsid w:val="00926E21"/>
    <w:rsid w:val="00962734"/>
    <w:rsid w:val="00972C19"/>
    <w:rsid w:val="00993915"/>
    <w:rsid w:val="009A4BA8"/>
    <w:rsid w:val="009B32A9"/>
    <w:rsid w:val="009E4278"/>
    <w:rsid w:val="00A245A9"/>
    <w:rsid w:val="00A40DC8"/>
    <w:rsid w:val="00A4551A"/>
    <w:rsid w:val="00A62B07"/>
    <w:rsid w:val="00AD2718"/>
    <w:rsid w:val="00AD462A"/>
    <w:rsid w:val="00AF2F02"/>
    <w:rsid w:val="00AF6153"/>
    <w:rsid w:val="00B01C11"/>
    <w:rsid w:val="00B16B1F"/>
    <w:rsid w:val="00B31BDB"/>
    <w:rsid w:val="00B42B4B"/>
    <w:rsid w:val="00BB17A9"/>
    <w:rsid w:val="00BB3A39"/>
    <w:rsid w:val="00BC1F52"/>
    <w:rsid w:val="00BE2837"/>
    <w:rsid w:val="00C36938"/>
    <w:rsid w:val="00C62614"/>
    <w:rsid w:val="00C757D1"/>
    <w:rsid w:val="00CE59D1"/>
    <w:rsid w:val="00E3217D"/>
    <w:rsid w:val="00E35C38"/>
    <w:rsid w:val="00E44D0C"/>
    <w:rsid w:val="00EA1A60"/>
    <w:rsid w:val="00ED3B98"/>
    <w:rsid w:val="00EF52DD"/>
    <w:rsid w:val="00F354FF"/>
    <w:rsid w:val="00F36D1A"/>
    <w:rsid w:val="00F4106E"/>
    <w:rsid w:val="00F465CE"/>
    <w:rsid w:val="00F83B8E"/>
    <w:rsid w:val="00FB6271"/>
    <w:rsid w:val="00FE038C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12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2</cp:revision>
  <cp:lastPrinted>2022-04-05T09:00:00Z</cp:lastPrinted>
  <dcterms:created xsi:type="dcterms:W3CDTF">2023-09-29T07:25:00Z</dcterms:created>
  <dcterms:modified xsi:type="dcterms:W3CDTF">2023-09-29T07:25:00Z</dcterms:modified>
</cp:coreProperties>
</file>