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CA57" w14:textId="358A66FA" w:rsidR="002A5EBC" w:rsidRDefault="00AA649A" w:rsidP="002A5EBC">
      <w:pPr>
        <w:pStyle w:val="paragraph"/>
        <w:spacing w:line="360" w:lineRule="auto"/>
        <w:jc w:val="both"/>
        <w:textAlignment w:val="baseline"/>
        <w:rPr>
          <w:rStyle w:val="normaltextrun"/>
          <w:rFonts w:asciiTheme="minorHAnsi" w:hAnsiTheme="minorHAnsi" w:cs="Arial"/>
          <w:b/>
          <w:bCs/>
          <w:sz w:val="26"/>
          <w:szCs w:val="26"/>
        </w:rPr>
      </w:pPr>
      <w:bookmarkStart w:id="0" w:name="_Hlk100127669"/>
      <w:r>
        <w:rPr>
          <w:rStyle w:val="normaltextrun"/>
          <w:rFonts w:asciiTheme="minorHAnsi" w:eastAsia="Cambria" w:hAnsiTheme="minorHAnsi"/>
          <w:bCs/>
          <w:color w:val="7F7F7F" w:themeColor="text1" w:themeTint="80"/>
          <w:sz w:val="22"/>
          <w:szCs w:val="22"/>
        </w:rPr>
        <w:t>PRESSEMELDUNG</w:t>
      </w:r>
      <w:r w:rsidR="0033357E">
        <w:rPr>
          <w:rStyle w:val="normaltextrun"/>
          <w:rFonts w:asciiTheme="minorHAnsi" w:eastAsia="Cambria" w:hAnsiTheme="minorHAnsi"/>
          <w:bCs/>
          <w:sz w:val="22"/>
          <w:szCs w:val="22"/>
        </w:rPr>
        <w:br/>
      </w:r>
      <w:r w:rsidR="002A5EBC">
        <w:rPr>
          <w:rStyle w:val="normaltextrun"/>
          <w:rFonts w:asciiTheme="minorHAnsi" w:hAnsiTheme="minorHAnsi" w:cs="Arial"/>
          <w:b/>
          <w:bCs/>
          <w:sz w:val="26"/>
          <w:szCs w:val="26"/>
        </w:rPr>
        <w:t>NIEDRIGES TRANSAKTIONSVOLUMEN PRÄGT DAS 1. QUARTAL 2023 AUF DEM STUTTGARTER MARKT</w:t>
      </w:r>
    </w:p>
    <w:bookmarkEnd w:id="0"/>
    <w:p w14:paraId="6450C924" w14:textId="4BBB8D1A" w:rsidR="002A5EBC" w:rsidRPr="002A5EBC" w:rsidRDefault="002A5EBC" w:rsidP="002A5EBC">
      <w:pPr>
        <w:pStyle w:val="paragraph"/>
        <w:spacing w:line="360" w:lineRule="auto"/>
        <w:jc w:val="both"/>
        <w:textAlignment w:val="baseline"/>
        <w:rPr>
          <w:rFonts w:asciiTheme="minorHAnsi" w:eastAsia="Cambria" w:hAnsiTheme="minorHAnsi" w:cstheme="minorHAnsi"/>
          <w:iCs/>
          <w:sz w:val="22"/>
          <w:szCs w:val="22"/>
          <w:lang w:eastAsia="en-US"/>
        </w:rPr>
      </w:pPr>
      <w:r w:rsidRPr="002A5EBC">
        <w:rPr>
          <w:rStyle w:val="normaltextrun"/>
          <w:rFonts w:ascii="Calibri" w:hAnsi="Calibri" w:cs="Arial"/>
          <w:b/>
          <w:bCs/>
          <w:sz w:val="22"/>
          <w:szCs w:val="22"/>
        </w:rPr>
        <w:t xml:space="preserve">Stuttgart, 31. März 2023 – </w:t>
      </w:r>
      <w:r w:rsidRPr="002A5EBC">
        <w:rPr>
          <w:rFonts w:asciiTheme="minorHAnsi" w:eastAsia="Cambria" w:hAnsiTheme="minorHAnsi" w:cstheme="minorHAnsi"/>
          <w:iCs/>
          <w:sz w:val="22"/>
          <w:szCs w:val="22"/>
          <w:lang w:eastAsia="en-US"/>
        </w:rPr>
        <w:t>Auf dem Stuttgarter Immobilien-Investmentmarkt wurde</w:t>
      </w:r>
      <w:r>
        <w:rPr>
          <w:rFonts w:asciiTheme="minorHAnsi" w:eastAsia="Cambria" w:hAnsiTheme="minorHAnsi" w:cstheme="minorHAnsi"/>
          <w:iCs/>
          <w:sz w:val="22"/>
          <w:szCs w:val="22"/>
          <w:lang w:eastAsia="en-US"/>
        </w:rPr>
        <w:t>n</w:t>
      </w:r>
      <w:r w:rsidRPr="002A5EBC">
        <w:rPr>
          <w:rFonts w:asciiTheme="minorHAnsi" w:eastAsia="Cambria" w:hAnsiTheme="minorHAnsi" w:cstheme="minorHAnsi"/>
          <w:iCs/>
          <w:sz w:val="22"/>
          <w:szCs w:val="22"/>
          <w:lang w:eastAsia="en-US"/>
        </w:rPr>
        <w:t xml:space="preserve"> im </w:t>
      </w:r>
      <w:r>
        <w:rPr>
          <w:rFonts w:asciiTheme="minorHAnsi" w:eastAsia="Cambria" w:hAnsiTheme="minorHAnsi" w:cstheme="minorHAnsi"/>
          <w:iCs/>
          <w:sz w:val="22"/>
          <w:szCs w:val="22"/>
          <w:lang w:eastAsia="en-US"/>
        </w:rPr>
        <w:br/>
      </w:r>
      <w:r w:rsidRPr="002A5EBC">
        <w:rPr>
          <w:rFonts w:asciiTheme="minorHAnsi" w:eastAsia="Cambria" w:hAnsiTheme="minorHAnsi" w:cstheme="minorHAnsi"/>
          <w:iCs/>
          <w:sz w:val="22"/>
          <w:szCs w:val="22"/>
          <w:lang w:eastAsia="en-US"/>
        </w:rPr>
        <w:t xml:space="preserve">1. Quartal 2023 rund 170 </w:t>
      </w:r>
      <w:r w:rsidR="00FD4A27" w:rsidRPr="002A5EBC">
        <w:rPr>
          <w:rFonts w:asciiTheme="minorHAnsi" w:eastAsia="Cambria" w:hAnsiTheme="minorHAnsi" w:cstheme="minorHAnsi"/>
          <w:iCs/>
          <w:sz w:val="22"/>
          <w:szCs w:val="22"/>
          <w:lang w:eastAsia="en-US"/>
        </w:rPr>
        <w:t>Mi</w:t>
      </w:r>
      <w:r w:rsidR="00FD4A27">
        <w:rPr>
          <w:rFonts w:asciiTheme="minorHAnsi" w:eastAsia="Cambria" w:hAnsiTheme="minorHAnsi" w:cstheme="minorHAnsi"/>
          <w:iCs/>
          <w:sz w:val="22"/>
          <w:szCs w:val="22"/>
          <w:lang w:eastAsia="en-US"/>
        </w:rPr>
        <w:t>o. €</w:t>
      </w:r>
      <w:r w:rsidR="00FD4A27" w:rsidRPr="002A5EBC">
        <w:rPr>
          <w:rFonts w:asciiTheme="minorHAnsi" w:eastAsia="Cambria" w:hAnsiTheme="minorHAnsi" w:cstheme="minorHAnsi"/>
          <w:iCs/>
          <w:sz w:val="22"/>
          <w:szCs w:val="22"/>
          <w:lang w:eastAsia="en-US"/>
        </w:rPr>
        <w:t xml:space="preserve"> </w:t>
      </w:r>
      <w:r w:rsidRPr="002A5EBC">
        <w:rPr>
          <w:rFonts w:asciiTheme="minorHAnsi" w:eastAsia="Cambria" w:hAnsiTheme="minorHAnsi" w:cstheme="minorHAnsi"/>
          <w:iCs/>
          <w:sz w:val="22"/>
          <w:szCs w:val="22"/>
          <w:lang w:eastAsia="en-US"/>
        </w:rPr>
        <w:t>investiert und somit weniger als ein Drittel so viel gegenüber dem Vorjahresquartal, in dem der Umsatz bei ca. 530 Mi</w:t>
      </w:r>
      <w:r w:rsidR="00FD4A27">
        <w:rPr>
          <w:rFonts w:asciiTheme="minorHAnsi" w:eastAsia="Cambria" w:hAnsiTheme="minorHAnsi" w:cstheme="minorHAnsi"/>
          <w:iCs/>
          <w:sz w:val="22"/>
          <w:szCs w:val="22"/>
          <w:lang w:eastAsia="en-US"/>
        </w:rPr>
        <w:t>o. €</w:t>
      </w:r>
      <w:r w:rsidRPr="002A5EBC">
        <w:rPr>
          <w:rFonts w:asciiTheme="minorHAnsi" w:eastAsia="Cambria" w:hAnsiTheme="minorHAnsi" w:cstheme="minorHAnsi"/>
          <w:iCs/>
          <w:sz w:val="22"/>
          <w:szCs w:val="22"/>
          <w:lang w:eastAsia="en-US"/>
        </w:rPr>
        <w:t xml:space="preserve"> lag. </w:t>
      </w:r>
      <w:r>
        <w:rPr>
          <w:rFonts w:asciiTheme="minorHAnsi" w:eastAsia="Cambria" w:hAnsiTheme="minorHAnsi" w:cstheme="minorHAnsi"/>
          <w:iCs/>
          <w:sz w:val="22"/>
          <w:szCs w:val="22"/>
          <w:lang w:eastAsia="en-US"/>
        </w:rPr>
        <w:t>Dies war a</w:t>
      </w:r>
      <w:r w:rsidRPr="002A5EBC">
        <w:rPr>
          <w:rFonts w:asciiTheme="minorHAnsi" w:eastAsia="Cambria" w:hAnsiTheme="minorHAnsi" w:cstheme="minorHAnsi"/>
          <w:iCs/>
          <w:sz w:val="22"/>
          <w:szCs w:val="22"/>
          <w:lang w:eastAsia="en-US"/>
        </w:rPr>
        <w:t>llerdings dem Sondereffekt der Übernahme des mehrheitlichen Teils der Aktien der alstria office REIT-AG durch Brookfield Asset Management im 1. Quartal 2022 geschuldet. Das sind die Ergebnisse der jüngsten Erhebungen von E &amp; G Real Estate für den Investmentmarkt Stuttgart. </w:t>
      </w:r>
    </w:p>
    <w:p w14:paraId="48E4F58F" w14:textId="1A04F329" w:rsidR="002A5EBC" w:rsidRDefault="002A5EBC" w:rsidP="002A5EBC">
      <w:pPr>
        <w:pStyle w:val="paragraph"/>
        <w:spacing w:line="360" w:lineRule="auto"/>
        <w:jc w:val="both"/>
        <w:textAlignment w:val="baseline"/>
        <w:rPr>
          <w:rStyle w:val="normaltextrun"/>
          <w:rFonts w:ascii="Calibri" w:hAnsi="Calibri" w:cs="Arial"/>
          <w:sz w:val="22"/>
          <w:szCs w:val="22"/>
        </w:rPr>
      </w:pPr>
      <w:bookmarkStart w:id="1" w:name="_Hlk98492384"/>
      <w:r w:rsidRPr="002A5EBC">
        <w:rPr>
          <w:rStyle w:val="normaltextrun"/>
          <w:rFonts w:ascii="Calibri" w:hAnsi="Calibri" w:cs="Arial"/>
          <w:i/>
          <w:iCs/>
          <w:sz w:val="22"/>
          <w:szCs w:val="22"/>
        </w:rPr>
        <w:t>„Es ist weiterhin sehr ruhig auf dem Stuttgarter Investmentmarkt. Die anhaltenden Unsicherheiten im Hinblick auf die Zinsentwicklung, die hohen Baukosten und die gestiegenen Renditeanforderungen führen dazu, dass sich bisher noch kein stabiles Preisniveau eingependelt hat. Nichtsdestotrotz rechnen wir, durch die sich in der Pipeline befindlichen Immobilienverkäufe, mit einer Zunahme der Transaktionstätigkeit im Laufe des Jahres.“,</w:t>
      </w:r>
      <w:r>
        <w:rPr>
          <w:rStyle w:val="normaltextrun"/>
          <w:rFonts w:ascii="Calibri" w:hAnsi="Calibri" w:cs="Arial"/>
          <w:sz w:val="22"/>
          <w:szCs w:val="22"/>
        </w:rPr>
        <w:t xml:space="preserve"> berichtet Björn Holzwarth, geschäftsführender Gesellschafter der E &amp; G Real Estate GmbH. </w:t>
      </w:r>
    </w:p>
    <w:p w14:paraId="12AD57B4" w14:textId="77777777" w:rsidR="002A5EBC" w:rsidRPr="00D138C5" w:rsidRDefault="002A5EBC" w:rsidP="002A5EBC">
      <w:pPr>
        <w:pStyle w:val="paragraph"/>
        <w:spacing w:line="360" w:lineRule="auto"/>
        <w:jc w:val="both"/>
        <w:textAlignment w:val="baseline"/>
        <w:rPr>
          <w:rFonts w:ascii="Calibri" w:hAnsi="Calibri"/>
          <w:sz w:val="22"/>
          <w:szCs w:val="22"/>
        </w:rPr>
      </w:pPr>
      <w:r w:rsidRPr="002A5EBC">
        <w:rPr>
          <w:rStyle w:val="normaltextrun"/>
          <w:rFonts w:ascii="Calibri" w:hAnsi="Calibri" w:cs="Arial"/>
          <w:i/>
          <w:iCs/>
          <w:sz w:val="22"/>
          <w:szCs w:val="22"/>
        </w:rPr>
        <w:t>„Büroimmobilien stehen nach wie vor im Fokus. Durch die Ausübung des Vorkaufsrechts der Stadt für die Immobilie Eberhardstraße 28/Steinstraße 4 ist der Anteil der Nutzungsart Grundstücke/Developments in diesem Quartal ungewöhnlich hoch.“,</w:t>
      </w:r>
      <w:r>
        <w:rPr>
          <w:rStyle w:val="normaltextrun"/>
          <w:rFonts w:ascii="Calibri" w:hAnsi="Calibri" w:cs="Arial"/>
          <w:sz w:val="22"/>
          <w:szCs w:val="22"/>
        </w:rPr>
        <w:t xml:space="preserve"> </w:t>
      </w:r>
      <w:r w:rsidRPr="00D138C5">
        <w:rPr>
          <w:rStyle w:val="normaltextrun"/>
          <w:rFonts w:ascii="Calibri" w:hAnsi="Calibri" w:cs="Arial"/>
          <w:sz w:val="22"/>
          <w:szCs w:val="22"/>
        </w:rPr>
        <w:t>berichtet Holzwarth</w:t>
      </w:r>
      <w:r>
        <w:rPr>
          <w:rStyle w:val="normaltextrun"/>
          <w:rFonts w:ascii="Calibri" w:hAnsi="Calibri" w:cs="Arial"/>
          <w:sz w:val="22"/>
          <w:szCs w:val="22"/>
        </w:rPr>
        <w:t xml:space="preserve"> weiter. </w:t>
      </w:r>
    </w:p>
    <w:p w14:paraId="1F0A4552" w14:textId="46EC2FF3" w:rsidR="002A5EBC" w:rsidRPr="00D138C5" w:rsidRDefault="002A5EBC" w:rsidP="002A5EBC">
      <w:pPr>
        <w:spacing w:before="100" w:beforeAutospacing="1" w:after="100" w:afterAutospacing="1" w:line="360" w:lineRule="auto"/>
        <w:jc w:val="both"/>
        <w:textAlignment w:val="baseline"/>
        <w:rPr>
          <w:rFonts w:ascii="Calibri" w:eastAsia="Times New Roman" w:hAnsi="Calibri" w:cs="Times New Roman"/>
          <w:lang w:eastAsia="de-DE"/>
        </w:rPr>
      </w:pPr>
      <w:r w:rsidRPr="00D138C5">
        <w:rPr>
          <w:rFonts w:ascii="Calibri" w:eastAsia="Times New Roman" w:hAnsi="Calibri" w:cs="Arial"/>
          <w:lang w:eastAsia="de-DE"/>
        </w:rPr>
        <w:t xml:space="preserve">Insgesamt wurden im </w:t>
      </w:r>
      <w:r>
        <w:rPr>
          <w:rFonts w:ascii="Calibri" w:eastAsia="Times New Roman" w:hAnsi="Calibri" w:cs="Arial"/>
          <w:lang w:eastAsia="de-DE"/>
        </w:rPr>
        <w:t>1.</w:t>
      </w:r>
      <w:r w:rsidRPr="00D138C5">
        <w:rPr>
          <w:rFonts w:ascii="Calibri" w:eastAsia="Times New Roman" w:hAnsi="Calibri" w:cs="Arial"/>
          <w:lang w:eastAsia="de-DE"/>
        </w:rPr>
        <w:t xml:space="preserve"> Quartal </w:t>
      </w:r>
      <w:r>
        <w:rPr>
          <w:rFonts w:ascii="Calibri" w:eastAsia="Times New Roman" w:hAnsi="Calibri" w:cs="Arial"/>
          <w:lang w:eastAsia="de-DE"/>
        </w:rPr>
        <w:t>2023 nur etwas mehr als eine Handvoll</w:t>
      </w:r>
      <w:r w:rsidRPr="00D138C5">
        <w:rPr>
          <w:rFonts w:ascii="Calibri" w:eastAsia="Times New Roman" w:hAnsi="Calibri" w:cs="Arial"/>
          <w:lang w:eastAsia="de-DE"/>
        </w:rPr>
        <w:t xml:space="preserve"> Transaktionen getätigt. Der Fokus der Investoren lag auf der Nutzungsart </w:t>
      </w:r>
      <w:r>
        <w:rPr>
          <w:rFonts w:ascii="Calibri" w:eastAsia="Times New Roman" w:hAnsi="Calibri" w:cs="Arial"/>
          <w:lang w:eastAsia="de-DE"/>
        </w:rPr>
        <w:t>Grundstücke/Developments</w:t>
      </w:r>
      <w:r w:rsidRPr="00D138C5">
        <w:rPr>
          <w:rFonts w:ascii="Calibri" w:eastAsia="Times New Roman" w:hAnsi="Calibri" w:cs="Arial"/>
          <w:lang w:eastAsia="de-DE"/>
        </w:rPr>
        <w:t xml:space="preserve"> mit rund </w:t>
      </w:r>
      <w:r>
        <w:rPr>
          <w:rFonts w:ascii="Calibri" w:eastAsia="Times New Roman" w:hAnsi="Calibri" w:cs="Arial"/>
          <w:lang w:eastAsia="de-DE"/>
        </w:rPr>
        <w:t>40</w:t>
      </w:r>
      <w:r w:rsidRPr="00D138C5">
        <w:rPr>
          <w:rFonts w:ascii="Calibri" w:eastAsia="Times New Roman" w:hAnsi="Calibri" w:cs="Arial"/>
          <w:lang w:eastAsia="de-DE"/>
        </w:rPr>
        <w:t xml:space="preserve"> </w:t>
      </w:r>
      <w:r w:rsidR="00FD4A27">
        <w:rPr>
          <w:rFonts w:ascii="Calibri" w:eastAsia="Times New Roman" w:hAnsi="Calibri" w:cs="Arial"/>
          <w:lang w:eastAsia="de-DE"/>
        </w:rPr>
        <w:t>%</w:t>
      </w:r>
      <w:r w:rsidRPr="00D138C5">
        <w:rPr>
          <w:rFonts w:ascii="Calibri" w:eastAsia="Times New Roman" w:hAnsi="Calibri" w:cs="Arial"/>
          <w:lang w:eastAsia="de-DE"/>
        </w:rPr>
        <w:t xml:space="preserve"> </w:t>
      </w:r>
      <w:r>
        <w:rPr>
          <w:rFonts w:ascii="Calibri" w:eastAsia="Times New Roman" w:hAnsi="Calibri" w:cs="Arial"/>
          <w:lang w:eastAsia="de-DE"/>
        </w:rPr>
        <w:t xml:space="preserve">und Büro mit etwa 38 </w:t>
      </w:r>
      <w:r w:rsidR="00FD4A27">
        <w:rPr>
          <w:rFonts w:ascii="Calibri" w:eastAsia="Times New Roman" w:hAnsi="Calibri" w:cs="Arial"/>
          <w:lang w:eastAsia="de-DE"/>
        </w:rPr>
        <w:t>%</w:t>
      </w:r>
      <w:r>
        <w:rPr>
          <w:rFonts w:ascii="Calibri" w:eastAsia="Times New Roman" w:hAnsi="Calibri" w:cs="Arial"/>
          <w:lang w:eastAsia="de-DE"/>
        </w:rPr>
        <w:t xml:space="preserve"> </w:t>
      </w:r>
      <w:r w:rsidRPr="00D138C5">
        <w:rPr>
          <w:rFonts w:ascii="Calibri" w:eastAsia="Times New Roman" w:hAnsi="Calibri" w:cs="Arial"/>
          <w:lang w:eastAsia="de-DE"/>
        </w:rPr>
        <w:t>Anteil am Transaktionsvolumen</w:t>
      </w:r>
      <w:r>
        <w:rPr>
          <w:rFonts w:ascii="Calibri" w:eastAsia="Times New Roman" w:hAnsi="Calibri" w:cs="Arial"/>
          <w:lang w:eastAsia="de-DE"/>
        </w:rPr>
        <w:t xml:space="preserve">. Mischnutzungen folgten mit ca. 15 </w:t>
      </w:r>
      <w:r w:rsidR="00FD4A27">
        <w:rPr>
          <w:rFonts w:ascii="Calibri" w:eastAsia="Times New Roman" w:hAnsi="Calibri" w:cs="Arial"/>
          <w:lang w:eastAsia="de-DE"/>
        </w:rPr>
        <w:t>%</w:t>
      </w:r>
      <w:r>
        <w:rPr>
          <w:rFonts w:ascii="Calibri" w:eastAsia="Times New Roman" w:hAnsi="Calibri" w:cs="Arial"/>
          <w:lang w:eastAsia="de-DE"/>
        </w:rPr>
        <w:t xml:space="preserve"> und Investitionen in Logistikimmobilien machten etwa 7 </w:t>
      </w:r>
      <w:r w:rsidR="00FD4A27">
        <w:rPr>
          <w:rFonts w:ascii="Calibri" w:eastAsia="Times New Roman" w:hAnsi="Calibri" w:cs="Arial"/>
          <w:lang w:eastAsia="de-DE"/>
        </w:rPr>
        <w:t>%</w:t>
      </w:r>
      <w:r>
        <w:rPr>
          <w:rFonts w:ascii="Calibri" w:eastAsia="Times New Roman" w:hAnsi="Calibri" w:cs="Arial"/>
          <w:lang w:eastAsia="de-DE"/>
        </w:rPr>
        <w:t xml:space="preserve"> aus.</w:t>
      </w:r>
    </w:p>
    <w:p w14:paraId="681225B7" w14:textId="3932FE65" w:rsidR="002A5EBC" w:rsidRDefault="002A5EBC" w:rsidP="002A5EBC">
      <w:pPr>
        <w:spacing w:before="100" w:beforeAutospacing="1" w:after="100" w:afterAutospacing="1" w:line="360" w:lineRule="auto"/>
        <w:jc w:val="both"/>
        <w:textAlignment w:val="baseline"/>
        <w:rPr>
          <w:rFonts w:ascii="Calibri" w:eastAsia="Times New Roman" w:hAnsi="Calibri" w:cs="Arial"/>
          <w:lang w:eastAsia="de-DE"/>
        </w:rPr>
      </w:pPr>
      <w:r>
        <w:rPr>
          <w:rFonts w:ascii="Calibri" w:eastAsia="Times New Roman" w:hAnsi="Calibri" w:cs="Arial"/>
          <w:lang w:eastAsia="de-DE"/>
        </w:rPr>
        <w:t xml:space="preserve">Als Käufer waren die Gruppe der öffentlichen Hand mit rund 35 </w:t>
      </w:r>
      <w:r w:rsidR="00FD4A27">
        <w:rPr>
          <w:rFonts w:ascii="Calibri" w:eastAsia="Times New Roman" w:hAnsi="Calibri" w:cs="Arial"/>
          <w:lang w:eastAsia="de-DE"/>
        </w:rPr>
        <w:t>%</w:t>
      </w:r>
      <w:r>
        <w:rPr>
          <w:rFonts w:ascii="Calibri" w:eastAsia="Times New Roman" w:hAnsi="Calibri" w:cs="Arial"/>
          <w:lang w:eastAsia="de-DE"/>
        </w:rPr>
        <w:t xml:space="preserve"> Anteil am Transaktionsvolumen die dominierende Gruppe. Einen weiteren bedeutenden Anteil am Investmentmarkt hatten Opportunity Fonds mit fast 25 </w:t>
      </w:r>
      <w:r w:rsidR="00FD4A27">
        <w:rPr>
          <w:rFonts w:ascii="Calibri" w:eastAsia="Times New Roman" w:hAnsi="Calibri" w:cs="Arial"/>
          <w:lang w:eastAsia="de-DE"/>
        </w:rPr>
        <w:t>%</w:t>
      </w:r>
      <w:r>
        <w:rPr>
          <w:rFonts w:ascii="Calibri" w:eastAsia="Times New Roman" w:hAnsi="Calibri" w:cs="Arial"/>
          <w:lang w:eastAsia="de-DE"/>
        </w:rPr>
        <w:t xml:space="preserve"> und Private Anleger mit nahezu 18 </w:t>
      </w:r>
      <w:r w:rsidR="00FD4A27">
        <w:rPr>
          <w:rFonts w:ascii="Calibri" w:eastAsia="Times New Roman" w:hAnsi="Calibri" w:cs="Arial"/>
          <w:lang w:eastAsia="de-DE"/>
        </w:rPr>
        <w:t>%</w:t>
      </w:r>
      <w:r>
        <w:rPr>
          <w:rFonts w:ascii="Calibri" w:eastAsia="Times New Roman" w:hAnsi="Calibri" w:cs="Arial"/>
          <w:lang w:eastAsia="de-DE"/>
        </w:rPr>
        <w:t xml:space="preserve"> Marktanteil. </w:t>
      </w:r>
    </w:p>
    <w:p w14:paraId="634A40B5" w14:textId="77777777" w:rsidR="002A5EBC" w:rsidRDefault="002A5EBC" w:rsidP="002A5EBC">
      <w:pPr>
        <w:spacing w:before="100" w:beforeAutospacing="1" w:after="100" w:afterAutospacing="1" w:line="360" w:lineRule="auto"/>
        <w:jc w:val="both"/>
        <w:textAlignment w:val="baseline"/>
        <w:rPr>
          <w:rFonts w:ascii="Calibri" w:eastAsia="Times New Roman" w:hAnsi="Calibri" w:cs="Arial"/>
          <w:lang w:eastAsia="de-DE"/>
        </w:rPr>
      </w:pPr>
    </w:p>
    <w:p w14:paraId="34B80647" w14:textId="77777777" w:rsidR="00F01F0D" w:rsidRDefault="00F01F0D" w:rsidP="002A5EBC">
      <w:pPr>
        <w:spacing w:before="100" w:beforeAutospacing="1" w:after="100" w:afterAutospacing="1" w:line="360" w:lineRule="auto"/>
        <w:jc w:val="both"/>
        <w:textAlignment w:val="baseline"/>
        <w:rPr>
          <w:rFonts w:ascii="Calibri" w:eastAsia="Times New Roman" w:hAnsi="Calibri" w:cs="Arial"/>
          <w:lang w:eastAsia="de-DE"/>
        </w:rPr>
      </w:pPr>
    </w:p>
    <w:p w14:paraId="2B68290A" w14:textId="77777777" w:rsidR="00F01F0D" w:rsidRDefault="00F01F0D" w:rsidP="002A5EBC">
      <w:pPr>
        <w:spacing w:before="100" w:beforeAutospacing="1" w:after="100" w:afterAutospacing="1" w:line="360" w:lineRule="auto"/>
        <w:jc w:val="both"/>
        <w:textAlignment w:val="baseline"/>
        <w:rPr>
          <w:rFonts w:ascii="Calibri" w:eastAsia="Times New Roman" w:hAnsi="Calibri" w:cs="Arial"/>
          <w:lang w:eastAsia="de-DE"/>
        </w:rPr>
      </w:pPr>
    </w:p>
    <w:p w14:paraId="1B3DCFE6" w14:textId="6167C026" w:rsidR="002A5EBC" w:rsidRPr="00D138C5" w:rsidRDefault="002A5EBC" w:rsidP="002A5EBC">
      <w:pPr>
        <w:spacing w:before="100" w:beforeAutospacing="1" w:after="100" w:afterAutospacing="1" w:line="360" w:lineRule="auto"/>
        <w:jc w:val="both"/>
        <w:textAlignment w:val="baseline"/>
        <w:rPr>
          <w:rFonts w:ascii="Calibri" w:eastAsia="Times New Roman" w:hAnsi="Calibri" w:cs="Times New Roman"/>
          <w:lang w:eastAsia="de-DE"/>
        </w:rPr>
      </w:pPr>
      <w:r w:rsidRPr="00D138C5">
        <w:rPr>
          <w:rFonts w:ascii="Calibri" w:eastAsia="Times New Roman" w:hAnsi="Calibri" w:cs="Arial"/>
          <w:lang w:eastAsia="de-DE"/>
        </w:rPr>
        <w:t xml:space="preserve">Auf Verkäuferseite waren </w:t>
      </w:r>
      <w:r>
        <w:rPr>
          <w:rFonts w:ascii="Calibri" w:eastAsia="Times New Roman" w:hAnsi="Calibri" w:cs="Arial"/>
          <w:lang w:eastAsia="de-DE"/>
        </w:rPr>
        <w:t xml:space="preserve">börsennotierte Immobilien AGs/REITs </w:t>
      </w:r>
      <w:r w:rsidRPr="00D138C5">
        <w:rPr>
          <w:rFonts w:ascii="Calibri" w:eastAsia="Times New Roman" w:hAnsi="Calibri" w:cs="Arial"/>
          <w:lang w:eastAsia="de-DE"/>
        </w:rPr>
        <w:t xml:space="preserve">mit einem Anteil von etwa </w:t>
      </w:r>
      <w:r w:rsidR="00FD4A27">
        <w:rPr>
          <w:rFonts w:ascii="Calibri" w:eastAsia="Times New Roman" w:hAnsi="Calibri" w:cs="Arial"/>
          <w:lang w:eastAsia="de-DE"/>
        </w:rPr>
        <w:br/>
      </w:r>
      <w:r>
        <w:rPr>
          <w:rFonts w:ascii="Calibri" w:eastAsia="Times New Roman" w:hAnsi="Calibri" w:cs="Arial"/>
          <w:lang w:eastAsia="de-DE"/>
        </w:rPr>
        <w:t>35</w:t>
      </w:r>
      <w:r w:rsidRPr="00D138C5">
        <w:rPr>
          <w:rFonts w:ascii="Calibri" w:eastAsia="Times New Roman" w:hAnsi="Calibri" w:cs="Arial"/>
          <w:lang w:eastAsia="de-DE"/>
        </w:rPr>
        <w:t xml:space="preserve"> </w:t>
      </w:r>
      <w:r w:rsidR="00FD4A27">
        <w:rPr>
          <w:rFonts w:ascii="Calibri" w:eastAsia="Times New Roman" w:hAnsi="Calibri" w:cs="Arial"/>
          <w:lang w:eastAsia="de-DE"/>
        </w:rPr>
        <w:t>%</w:t>
      </w:r>
      <w:r w:rsidRPr="00D138C5">
        <w:rPr>
          <w:rFonts w:ascii="Calibri" w:eastAsia="Times New Roman" w:hAnsi="Calibri" w:cs="Arial"/>
          <w:lang w:eastAsia="de-DE"/>
        </w:rPr>
        <w:t xml:space="preserve"> am Transaktionsvolumen dominierend, gefolgt von </w:t>
      </w:r>
      <w:r>
        <w:rPr>
          <w:rFonts w:ascii="Calibri" w:eastAsia="Times New Roman" w:hAnsi="Calibri" w:cs="Arial"/>
          <w:lang w:eastAsia="de-DE"/>
        </w:rPr>
        <w:t xml:space="preserve">Fondsmanagern mit 31 </w:t>
      </w:r>
      <w:r w:rsidR="00FD4A27">
        <w:rPr>
          <w:rFonts w:ascii="Calibri" w:eastAsia="Times New Roman" w:hAnsi="Calibri" w:cs="Arial"/>
          <w:lang w:eastAsia="de-DE"/>
        </w:rPr>
        <w:t>%</w:t>
      </w:r>
      <w:r w:rsidRPr="00D138C5">
        <w:rPr>
          <w:rFonts w:ascii="Calibri" w:eastAsia="Times New Roman" w:hAnsi="Calibri" w:cs="Arial"/>
          <w:lang w:eastAsia="de-DE"/>
        </w:rPr>
        <w:t xml:space="preserve"> </w:t>
      </w:r>
      <w:r>
        <w:rPr>
          <w:rFonts w:ascii="Calibri" w:eastAsia="Times New Roman" w:hAnsi="Calibri" w:cs="Arial"/>
          <w:lang w:eastAsia="de-DE"/>
        </w:rPr>
        <w:t xml:space="preserve">und privaten Verkäufern mit ca. 23 </w:t>
      </w:r>
      <w:r w:rsidR="00FD4A27">
        <w:rPr>
          <w:rFonts w:ascii="Calibri" w:eastAsia="Times New Roman" w:hAnsi="Calibri" w:cs="Arial"/>
          <w:lang w:eastAsia="de-DE"/>
        </w:rPr>
        <w:t>%</w:t>
      </w:r>
      <w:r>
        <w:rPr>
          <w:rFonts w:ascii="Calibri" w:eastAsia="Times New Roman" w:hAnsi="Calibri" w:cs="Arial"/>
          <w:lang w:eastAsia="de-DE"/>
        </w:rPr>
        <w:t xml:space="preserve"> </w:t>
      </w:r>
      <w:r w:rsidRPr="00D138C5">
        <w:rPr>
          <w:rFonts w:ascii="Calibri" w:eastAsia="Times New Roman" w:hAnsi="Calibri" w:cs="Arial"/>
          <w:lang w:eastAsia="de-DE"/>
        </w:rPr>
        <w:t>Marktanteil.</w:t>
      </w:r>
      <w:r>
        <w:rPr>
          <w:rFonts w:ascii="Calibri" w:eastAsia="Times New Roman" w:hAnsi="Calibri" w:cs="Arial"/>
          <w:lang w:eastAsia="de-DE"/>
        </w:rPr>
        <w:t xml:space="preserve"> Alle anderen Marktteilnehmer spielten nur eine untergeordnete Rolle.</w:t>
      </w:r>
    </w:p>
    <w:p w14:paraId="2D5D6C0B" w14:textId="7222D689" w:rsidR="002A5EBC" w:rsidRPr="009F7762" w:rsidRDefault="002A5EBC" w:rsidP="002A5EBC">
      <w:pPr>
        <w:spacing w:before="100" w:beforeAutospacing="1" w:after="100" w:afterAutospacing="1" w:line="360" w:lineRule="auto"/>
        <w:jc w:val="both"/>
        <w:textAlignment w:val="baseline"/>
        <w:rPr>
          <w:rFonts w:ascii="Calibri" w:eastAsia="Times New Roman" w:hAnsi="Calibri" w:cs="Arial"/>
          <w:lang w:eastAsia="de-DE"/>
        </w:rPr>
      </w:pPr>
      <w:r w:rsidRPr="002A5EBC">
        <w:rPr>
          <w:rFonts w:ascii="Calibri" w:eastAsia="Times New Roman" w:hAnsi="Calibri" w:cs="Arial"/>
          <w:i/>
          <w:iCs/>
          <w:lang w:eastAsia="de-DE"/>
        </w:rPr>
        <w:t> „Wann die neue Marktrealität auf dem Stuttgarter Investmentmarkt ankommt und die institutionellen Investoren wieder flächendeckend agieren, ist aktuell noch schwer abzuschätzen.“,</w:t>
      </w:r>
      <w:r w:rsidRPr="00D138C5">
        <w:rPr>
          <w:rFonts w:ascii="Calibri" w:eastAsia="Times New Roman" w:hAnsi="Calibri" w:cs="Arial"/>
          <w:lang w:eastAsia="de-DE"/>
        </w:rPr>
        <w:t xml:space="preserve"> sagt Holzwarth. </w:t>
      </w:r>
      <w:r w:rsidRPr="002A5EBC">
        <w:rPr>
          <w:rFonts w:ascii="Calibri" w:eastAsia="Times New Roman" w:hAnsi="Calibri" w:cs="Arial"/>
          <w:i/>
          <w:iCs/>
          <w:lang w:eastAsia="de-DE"/>
        </w:rPr>
        <w:t xml:space="preserve">„Es sei davon auszugehen, dass dieses Jahr ein Transaktionsvolumen von rund 750 </w:t>
      </w:r>
      <w:r w:rsidR="00FD4A27">
        <w:rPr>
          <w:rFonts w:ascii="Calibri" w:eastAsia="Times New Roman" w:hAnsi="Calibri" w:cs="Arial"/>
          <w:i/>
          <w:iCs/>
          <w:lang w:eastAsia="de-DE"/>
        </w:rPr>
        <w:t>Mio. €</w:t>
      </w:r>
      <w:r w:rsidRPr="002A5EBC">
        <w:rPr>
          <w:rFonts w:ascii="Calibri" w:eastAsia="Times New Roman" w:hAnsi="Calibri" w:cs="Arial"/>
          <w:i/>
          <w:iCs/>
          <w:lang w:eastAsia="de-DE"/>
        </w:rPr>
        <w:t xml:space="preserve"> erzielbar ist und sich somit das Transaktionsvolumen das erste Mal seit 2011 wieder unter </w:t>
      </w:r>
      <w:r w:rsidR="00FD4A27">
        <w:rPr>
          <w:rFonts w:ascii="Calibri" w:eastAsia="Times New Roman" w:hAnsi="Calibri" w:cs="Arial"/>
          <w:i/>
          <w:iCs/>
          <w:lang w:eastAsia="de-DE"/>
        </w:rPr>
        <w:t>1,</w:t>
      </w:r>
      <w:r w:rsidR="00C637F2">
        <w:rPr>
          <w:rFonts w:ascii="Calibri" w:eastAsia="Times New Roman" w:hAnsi="Calibri" w:cs="Arial"/>
          <w:i/>
          <w:iCs/>
          <w:lang w:eastAsia="de-DE"/>
        </w:rPr>
        <w:t>0</w:t>
      </w:r>
      <w:r w:rsidR="00FD4A27">
        <w:rPr>
          <w:rFonts w:ascii="Calibri" w:eastAsia="Times New Roman" w:hAnsi="Calibri" w:cs="Arial"/>
          <w:i/>
          <w:iCs/>
          <w:lang w:eastAsia="de-DE"/>
        </w:rPr>
        <w:t xml:space="preserve"> Mrd.</w:t>
      </w:r>
      <w:r w:rsidRPr="002A5EBC">
        <w:rPr>
          <w:rFonts w:ascii="Calibri" w:eastAsia="Times New Roman" w:hAnsi="Calibri" w:cs="Arial"/>
          <w:i/>
          <w:iCs/>
          <w:lang w:eastAsia="de-DE"/>
        </w:rPr>
        <w:t xml:space="preserve"> </w:t>
      </w:r>
      <w:r w:rsidR="00FD4A27">
        <w:rPr>
          <w:rFonts w:ascii="Calibri" w:eastAsia="Times New Roman" w:hAnsi="Calibri" w:cs="Arial"/>
          <w:i/>
          <w:iCs/>
          <w:lang w:eastAsia="de-DE"/>
        </w:rPr>
        <w:t>€</w:t>
      </w:r>
      <w:r w:rsidRPr="002A5EBC">
        <w:rPr>
          <w:rFonts w:ascii="Calibri" w:eastAsia="Times New Roman" w:hAnsi="Calibri" w:cs="Arial"/>
          <w:i/>
          <w:iCs/>
          <w:lang w:eastAsia="de-DE"/>
        </w:rPr>
        <w:t xml:space="preserve"> bewegen könnte.“ </w:t>
      </w:r>
    </w:p>
    <w:p w14:paraId="1A926697" w14:textId="77777777" w:rsidR="00BB17A9" w:rsidRDefault="00BB17A9" w:rsidP="0033357E">
      <w:pPr>
        <w:spacing w:after="0" w:line="240" w:lineRule="auto"/>
        <w:rPr>
          <w:rFonts w:eastAsia="Cambria" w:cs="Arial"/>
          <w:b/>
          <w:iCs/>
          <w:sz w:val="18"/>
          <w:szCs w:val="18"/>
        </w:rPr>
      </w:pPr>
    </w:p>
    <w:p w14:paraId="423F81B2" w14:textId="77777777" w:rsidR="00BB17A9" w:rsidRDefault="00BB17A9" w:rsidP="0033357E">
      <w:pPr>
        <w:spacing w:after="0" w:line="240" w:lineRule="auto"/>
        <w:rPr>
          <w:rFonts w:eastAsia="Cambria" w:cs="Arial"/>
          <w:b/>
          <w:iCs/>
          <w:sz w:val="18"/>
          <w:szCs w:val="18"/>
        </w:rPr>
      </w:pPr>
    </w:p>
    <w:p w14:paraId="7D2E09E0" w14:textId="77777777" w:rsidR="00BB17A9" w:rsidRDefault="00BB17A9" w:rsidP="0033357E">
      <w:pPr>
        <w:spacing w:after="0" w:line="240" w:lineRule="auto"/>
        <w:rPr>
          <w:rFonts w:eastAsia="Cambria" w:cs="Arial"/>
          <w:b/>
          <w:iCs/>
          <w:sz w:val="18"/>
          <w:szCs w:val="18"/>
        </w:rPr>
      </w:pPr>
    </w:p>
    <w:p w14:paraId="5F699403" w14:textId="77777777" w:rsidR="00BB17A9" w:rsidRDefault="00BB17A9" w:rsidP="0033357E">
      <w:pPr>
        <w:spacing w:after="0" w:line="240" w:lineRule="auto"/>
        <w:rPr>
          <w:rFonts w:eastAsia="Cambria" w:cs="Arial"/>
          <w:b/>
          <w:iCs/>
          <w:sz w:val="18"/>
          <w:szCs w:val="18"/>
        </w:rPr>
      </w:pPr>
    </w:p>
    <w:p w14:paraId="3569F31A" w14:textId="041767FD" w:rsidR="00BB17A9" w:rsidRDefault="00BB17A9" w:rsidP="0033357E">
      <w:pPr>
        <w:spacing w:after="0" w:line="240" w:lineRule="auto"/>
        <w:rPr>
          <w:rFonts w:eastAsia="Cambria" w:cs="Arial"/>
          <w:b/>
          <w:iCs/>
          <w:sz w:val="18"/>
          <w:szCs w:val="18"/>
        </w:rPr>
      </w:pPr>
    </w:p>
    <w:p w14:paraId="10FCFCED" w14:textId="547FC36C" w:rsidR="00F01F0D" w:rsidRDefault="00F01F0D" w:rsidP="0033357E">
      <w:pPr>
        <w:spacing w:after="0" w:line="240" w:lineRule="auto"/>
        <w:rPr>
          <w:rFonts w:eastAsia="Cambria" w:cs="Arial"/>
          <w:b/>
          <w:iCs/>
          <w:sz w:val="18"/>
          <w:szCs w:val="18"/>
        </w:rPr>
      </w:pPr>
    </w:p>
    <w:p w14:paraId="4478F055" w14:textId="6EA8CE82" w:rsidR="00F01F0D" w:rsidRDefault="00F01F0D" w:rsidP="0033357E">
      <w:pPr>
        <w:spacing w:after="0" w:line="240" w:lineRule="auto"/>
        <w:rPr>
          <w:rFonts w:eastAsia="Cambria" w:cs="Arial"/>
          <w:b/>
          <w:iCs/>
          <w:sz w:val="18"/>
          <w:szCs w:val="18"/>
        </w:rPr>
      </w:pPr>
    </w:p>
    <w:p w14:paraId="5D074510" w14:textId="7AF1701E" w:rsidR="00F01F0D" w:rsidRDefault="00F01F0D" w:rsidP="0033357E">
      <w:pPr>
        <w:spacing w:after="0" w:line="240" w:lineRule="auto"/>
        <w:rPr>
          <w:rFonts w:eastAsia="Cambria" w:cs="Arial"/>
          <w:b/>
          <w:iCs/>
          <w:sz w:val="18"/>
          <w:szCs w:val="18"/>
        </w:rPr>
      </w:pPr>
    </w:p>
    <w:p w14:paraId="1B673207" w14:textId="60F6E539" w:rsidR="00F01F0D" w:rsidRDefault="00F01F0D" w:rsidP="0033357E">
      <w:pPr>
        <w:spacing w:after="0" w:line="240" w:lineRule="auto"/>
        <w:rPr>
          <w:rFonts w:eastAsia="Cambria" w:cs="Arial"/>
          <w:b/>
          <w:iCs/>
          <w:sz w:val="18"/>
          <w:szCs w:val="18"/>
        </w:rPr>
      </w:pPr>
    </w:p>
    <w:p w14:paraId="7AC49BC3" w14:textId="639882CC" w:rsidR="00F01F0D" w:rsidRDefault="00F01F0D" w:rsidP="0033357E">
      <w:pPr>
        <w:spacing w:after="0" w:line="240" w:lineRule="auto"/>
        <w:rPr>
          <w:rFonts w:eastAsia="Cambria" w:cs="Arial"/>
          <w:b/>
          <w:iCs/>
          <w:sz w:val="18"/>
          <w:szCs w:val="18"/>
        </w:rPr>
      </w:pPr>
    </w:p>
    <w:p w14:paraId="6CDEA8CB" w14:textId="34FE6809" w:rsidR="00F01F0D" w:rsidRDefault="00F01F0D" w:rsidP="0033357E">
      <w:pPr>
        <w:spacing w:after="0" w:line="240" w:lineRule="auto"/>
        <w:rPr>
          <w:rFonts w:eastAsia="Cambria" w:cs="Arial"/>
          <w:b/>
          <w:iCs/>
          <w:sz w:val="18"/>
          <w:szCs w:val="18"/>
        </w:rPr>
      </w:pPr>
    </w:p>
    <w:p w14:paraId="1EE9F784" w14:textId="10C9390E" w:rsidR="00F01F0D" w:rsidRDefault="00F01F0D" w:rsidP="0033357E">
      <w:pPr>
        <w:spacing w:after="0" w:line="240" w:lineRule="auto"/>
        <w:rPr>
          <w:rFonts w:eastAsia="Cambria" w:cs="Arial"/>
          <w:b/>
          <w:iCs/>
          <w:sz w:val="18"/>
          <w:szCs w:val="18"/>
        </w:rPr>
      </w:pPr>
    </w:p>
    <w:p w14:paraId="129E871C" w14:textId="66B1F96A" w:rsidR="00F01F0D" w:rsidRDefault="00F01F0D" w:rsidP="0033357E">
      <w:pPr>
        <w:spacing w:after="0" w:line="240" w:lineRule="auto"/>
        <w:rPr>
          <w:rFonts w:eastAsia="Cambria" w:cs="Arial"/>
          <w:b/>
          <w:iCs/>
          <w:sz w:val="18"/>
          <w:szCs w:val="18"/>
        </w:rPr>
      </w:pPr>
    </w:p>
    <w:p w14:paraId="54BA32D8" w14:textId="063D726C" w:rsidR="00F01F0D" w:rsidRDefault="00F01F0D" w:rsidP="0033357E">
      <w:pPr>
        <w:spacing w:after="0" w:line="240" w:lineRule="auto"/>
        <w:rPr>
          <w:rFonts w:eastAsia="Cambria" w:cs="Arial"/>
          <w:b/>
          <w:iCs/>
          <w:sz w:val="18"/>
          <w:szCs w:val="18"/>
        </w:rPr>
      </w:pPr>
    </w:p>
    <w:p w14:paraId="7E5B4690" w14:textId="0EAEFE66" w:rsidR="00F01F0D" w:rsidRDefault="00F01F0D" w:rsidP="0033357E">
      <w:pPr>
        <w:spacing w:after="0" w:line="240" w:lineRule="auto"/>
        <w:rPr>
          <w:rFonts w:eastAsia="Cambria" w:cs="Arial"/>
          <w:b/>
          <w:iCs/>
          <w:sz w:val="18"/>
          <w:szCs w:val="18"/>
        </w:rPr>
      </w:pPr>
    </w:p>
    <w:p w14:paraId="6A623ABC" w14:textId="55743A87" w:rsidR="00F01F0D" w:rsidRDefault="00F01F0D" w:rsidP="0033357E">
      <w:pPr>
        <w:spacing w:after="0" w:line="240" w:lineRule="auto"/>
        <w:rPr>
          <w:rFonts w:eastAsia="Cambria" w:cs="Arial"/>
          <w:b/>
          <w:iCs/>
          <w:sz w:val="18"/>
          <w:szCs w:val="18"/>
        </w:rPr>
      </w:pPr>
    </w:p>
    <w:p w14:paraId="66F62D06" w14:textId="0D2A332C" w:rsidR="00F01F0D" w:rsidRDefault="00F01F0D" w:rsidP="0033357E">
      <w:pPr>
        <w:spacing w:after="0" w:line="240" w:lineRule="auto"/>
        <w:rPr>
          <w:rFonts w:eastAsia="Cambria" w:cs="Arial"/>
          <w:b/>
          <w:iCs/>
          <w:sz w:val="18"/>
          <w:szCs w:val="18"/>
        </w:rPr>
      </w:pPr>
    </w:p>
    <w:p w14:paraId="26F9D95B" w14:textId="5A143EA4" w:rsidR="00F01F0D" w:rsidRDefault="00F01F0D" w:rsidP="0033357E">
      <w:pPr>
        <w:spacing w:after="0" w:line="240" w:lineRule="auto"/>
        <w:rPr>
          <w:rFonts w:eastAsia="Cambria" w:cs="Arial"/>
          <w:b/>
          <w:iCs/>
          <w:sz w:val="18"/>
          <w:szCs w:val="18"/>
        </w:rPr>
      </w:pPr>
    </w:p>
    <w:p w14:paraId="55B3F776" w14:textId="74295A8E" w:rsidR="00F01F0D" w:rsidRDefault="00F01F0D" w:rsidP="0033357E">
      <w:pPr>
        <w:spacing w:after="0" w:line="240" w:lineRule="auto"/>
        <w:rPr>
          <w:rFonts w:eastAsia="Cambria" w:cs="Arial"/>
          <w:b/>
          <w:iCs/>
          <w:sz w:val="18"/>
          <w:szCs w:val="18"/>
        </w:rPr>
      </w:pPr>
    </w:p>
    <w:p w14:paraId="718400FB" w14:textId="70267FB6" w:rsidR="00F01F0D" w:rsidRDefault="00F01F0D" w:rsidP="0033357E">
      <w:pPr>
        <w:spacing w:after="0" w:line="240" w:lineRule="auto"/>
        <w:rPr>
          <w:rFonts w:eastAsia="Cambria" w:cs="Arial"/>
          <w:b/>
          <w:iCs/>
          <w:sz w:val="18"/>
          <w:szCs w:val="18"/>
        </w:rPr>
      </w:pPr>
    </w:p>
    <w:p w14:paraId="162AA02D" w14:textId="7A49B89F" w:rsidR="00ED3B98" w:rsidRPr="007F6D26" w:rsidRDefault="00ED3B98" w:rsidP="00ED3B98">
      <w:pPr>
        <w:spacing w:after="0" w:line="240" w:lineRule="auto"/>
        <w:rPr>
          <w:rFonts w:eastAsia="Cambria" w:cs="Arial"/>
          <w:iCs/>
          <w:sz w:val="18"/>
          <w:szCs w:val="18"/>
        </w:rPr>
      </w:pPr>
      <w:r>
        <w:rPr>
          <w:rFonts w:eastAsia="Cambria" w:cs="Arial"/>
          <w:b/>
          <w:iCs/>
          <w:sz w:val="18"/>
          <w:szCs w:val="18"/>
        </w:rPr>
        <w:t>E &amp; G Real Estate</w:t>
      </w:r>
      <w:r>
        <w:rPr>
          <w:rFonts w:eastAsia="Cambria" w:cs="Arial"/>
          <w:iCs/>
          <w:sz w:val="18"/>
          <w:szCs w:val="18"/>
        </w:rPr>
        <w:br/>
      </w:r>
      <w:r w:rsidRPr="007F6D26">
        <w:rPr>
          <w:rFonts w:eastAsia="Cambria" w:cs="Arial"/>
          <w:iCs/>
          <w:sz w:val="18"/>
          <w:szCs w:val="18"/>
        </w:rPr>
        <w:t xml:space="preserve">In Baden-Württemberg und Bayern steht die </w:t>
      </w:r>
      <w:hyperlink r:id="rId7" w:history="1">
        <w:r w:rsidRPr="007F6D26">
          <w:rPr>
            <w:rFonts w:eastAsia="Cambria" w:cs="Arial"/>
            <w:iCs/>
            <w:sz w:val="18"/>
            <w:szCs w:val="18"/>
            <w:u w:val="single"/>
          </w:rPr>
          <w:t>E &amp; G Real Estate</w:t>
        </w:r>
      </w:hyperlink>
      <w:r w:rsidRPr="007F6D26">
        <w:rPr>
          <w:rFonts w:eastAsia="Cambria" w:cs="Arial"/>
          <w:iCs/>
          <w:sz w:val="18"/>
          <w:szCs w:val="18"/>
          <w:u w:val="single"/>
        </w:rPr>
        <w:t xml:space="preserve"> GmbH</w:t>
      </w:r>
      <w:r w:rsidRPr="007F6D26">
        <w:rPr>
          <w:rFonts w:eastAsia="Cambria" w:cs="Arial"/>
          <w:iCs/>
          <w:sz w:val="18"/>
          <w:szCs w:val="18"/>
        </w:rPr>
        <w:t xml:space="preserve"> für individuelle und persönliche Beratung beim Verkauf und der Vermietung von Gewerbe- und Wohnimmobilien. Neben dem Stuttgarter Stammsitz und der Münchner Niederlassung ist E &amp; G Real Estate</w:t>
      </w:r>
      <w:r w:rsidR="006E4F31" w:rsidRPr="007F6D26">
        <w:rPr>
          <w:rFonts w:eastAsia="Cambria" w:cs="Arial"/>
          <w:iCs/>
          <w:sz w:val="18"/>
          <w:szCs w:val="18"/>
        </w:rPr>
        <w:t>,</w:t>
      </w:r>
      <w:r w:rsidRPr="007F6D26">
        <w:rPr>
          <w:rFonts w:eastAsia="Cambria" w:cs="Arial"/>
          <w:iCs/>
          <w:sz w:val="18"/>
          <w:szCs w:val="18"/>
        </w:rPr>
        <w:t xml:space="preserve"> durch die Mehrheitsbeteiligung der </w:t>
      </w:r>
      <w:hyperlink r:id="rId8" w:history="1">
        <w:r w:rsidRPr="007F6D26">
          <w:rPr>
            <w:rStyle w:val="Hyperlink"/>
            <w:rFonts w:eastAsia="Cambria" w:cs="Arial"/>
            <w:iCs/>
            <w:color w:val="auto"/>
            <w:sz w:val="18"/>
            <w:szCs w:val="18"/>
          </w:rPr>
          <w:t>Grossmann &amp; Berger GmbH</w:t>
        </w:r>
      </w:hyperlink>
      <w:r w:rsidRPr="007F6D26">
        <w:rPr>
          <w:rFonts w:eastAsia="Cambria" w:cs="Arial"/>
          <w:iCs/>
          <w:sz w:val="18"/>
          <w:szCs w:val="18"/>
        </w:rPr>
        <w:t xml:space="preserve"> seit 2021</w:t>
      </w:r>
      <w:r w:rsidR="006E4F31" w:rsidRPr="007F6D26">
        <w:rPr>
          <w:rFonts w:eastAsia="Cambria" w:cs="Arial"/>
          <w:iCs/>
          <w:sz w:val="18"/>
          <w:szCs w:val="18"/>
        </w:rPr>
        <w:t>,</w:t>
      </w:r>
      <w:r w:rsidRPr="007F6D26">
        <w:rPr>
          <w:rFonts w:eastAsia="Cambria" w:cs="Arial"/>
          <w:iCs/>
          <w:sz w:val="18"/>
          <w:szCs w:val="18"/>
        </w:rPr>
        <w:t xml:space="preserve"> auch im norddeutschen Raum vertreten. Die insgesamt rund 250 Mitarbeiter profitieren von mehr als 85 Jahren Immobilienkompetenz und decken damit das gesamte Branchen-Dienstleistungsspektrum ab.</w:t>
      </w:r>
    </w:p>
    <w:p w14:paraId="7A2800B1" w14:textId="6EE2994A" w:rsidR="0033357E" w:rsidRDefault="00ED3B98" w:rsidP="00AA649A">
      <w:pPr>
        <w:spacing w:after="0" w:line="240" w:lineRule="auto"/>
        <w:rPr>
          <w:rFonts w:eastAsia="Cambria" w:cs="Arial"/>
          <w:iCs/>
          <w:sz w:val="18"/>
          <w:szCs w:val="18"/>
        </w:rPr>
      </w:pPr>
      <w:r w:rsidRPr="007F6D26">
        <w:rPr>
          <w:rFonts w:eastAsia="Cambria" w:cs="Arial"/>
          <w:iCs/>
          <w:sz w:val="18"/>
          <w:szCs w:val="18"/>
        </w:rPr>
        <w:t xml:space="preserve">E &amp; G Real Estate ist Mitglied von </w:t>
      </w:r>
      <w:hyperlink r:id="rId9" w:history="1">
        <w:r w:rsidRPr="007F6D26">
          <w:rPr>
            <w:rFonts w:eastAsia="Cambria" w:cs="Arial"/>
            <w:iCs/>
            <w:sz w:val="18"/>
            <w:szCs w:val="18"/>
            <w:u w:val="single"/>
          </w:rPr>
          <w:t>German Property Partners</w:t>
        </w:r>
      </w:hyperlink>
      <w:r w:rsidRPr="007F6D26">
        <w:rPr>
          <w:rFonts w:eastAsia="Cambria" w:cs="Arial"/>
          <w:iCs/>
          <w:sz w:val="18"/>
          <w:szCs w:val="18"/>
        </w:rPr>
        <w:t xml:space="preserve"> (GPP) und bietet ein deutschlandweites Gewerbeimmobiliennetzwerk an allen Top-7-Standorten.</w:t>
      </w:r>
    </w:p>
    <w:p w14:paraId="061F9157" w14:textId="77777777" w:rsidR="00F01F0D" w:rsidRDefault="00F01F0D" w:rsidP="00AA649A">
      <w:pPr>
        <w:spacing w:after="0" w:line="240" w:lineRule="auto"/>
        <w:rPr>
          <w:rFonts w:eastAsia="Cambria" w:cs="Arial"/>
          <w:iCs/>
          <w:sz w:val="18"/>
          <w:szCs w:val="18"/>
        </w:rPr>
      </w:pPr>
    </w:p>
    <w:p w14:paraId="3056C001" w14:textId="77777777" w:rsidR="00F01F0D" w:rsidRDefault="00F01F0D" w:rsidP="00F01F0D">
      <w:pPr>
        <w:spacing w:after="0" w:line="240" w:lineRule="auto"/>
        <w:rPr>
          <w:sz w:val="18"/>
          <w:szCs w:val="18"/>
        </w:rPr>
      </w:pPr>
      <w:r w:rsidRPr="007F6D26">
        <w:rPr>
          <w:rFonts w:eastAsia="Cambria" w:cs="Arial"/>
          <w:iCs/>
          <w:sz w:val="18"/>
          <w:szCs w:val="18"/>
        </w:rPr>
        <w:t xml:space="preserve">Die </w:t>
      </w:r>
      <w:hyperlink r:id="rId10" w:history="1">
        <w:r w:rsidRPr="007F6D26">
          <w:rPr>
            <w:rFonts w:eastAsia="Cambria"/>
            <w:iCs/>
            <w:sz w:val="18"/>
            <w:szCs w:val="18"/>
            <w:u w:val="single"/>
          </w:rPr>
          <w:t>Datenschutzrichtlinie</w:t>
        </w:r>
      </w:hyperlink>
      <w:r w:rsidRPr="007F6D26">
        <w:rPr>
          <w:rFonts w:eastAsia="Cambria" w:cs="Arial"/>
          <w:iCs/>
          <w:sz w:val="18"/>
          <w:szCs w:val="18"/>
        </w:rPr>
        <w:t xml:space="preserve"> von E &amp; G Real Estate finden Sie auf unserer Website.</w:t>
      </w:r>
      <w:r w:rsidRPr="007F6D26">
        <w:rPr>
          <w:rFonts w:eastAsia="Cambria" w:cs="Arial"/>
          <w:iCs/>
          <w:sz w:val="18"/>
          <w:szCs w:val="18"/>
        </w:rPr>
        <w:br/>
        <w:t xml:space="preserve">Wenn Sie zukünftig keine Informationen unserer Pressestelle mehr erhalten möchten, senden Sie bitte eine E-Mail an </w:t>
      </w:r>
      <w:hyperlink r:id="rId11" w:history="1">
        <w:r w:rsidRPr="007F6D26">
          <w:rPr>
            <w:rStyle w:val="Hyperlink"/>
            <w:rFonts w:eastAsia="Cambria"/>
            <w:iCs/>
            <w:color w:val="auto"/>
            <w:sz w:val="18"/>
            <w:szCs w:val="18"/>
          </w:rPr>
          <w:t>stuttgart@eug-re.de</w:t>
        </w:r>
      </w:hyperlink>
      <w:r w:rsidRPr="007F6D26">
        <w:rPr>
          <w:rFonts w:eastAsia="Cambria" w:cs="Arial"/>
          <w:iCs/>
          <w:sz w:val="18"/>
          <w:szCs w:val="18"/>
        </w:rPr>
        <w:t xml:space="preserve"> mit dem Betreff „Abmeldung Presseverteiler".</w:t>
      </w:r>
    </w:p>
    <w:p w14:paraId="1012D93F" w14:textId="77777777" w:rsidR="00F01F0D" w:rsidRDefault="00F01F0D" w:rsidP="00AA649A">
      <w:pPr>
        <w:spacing w:after="0" w:line="240" w:lineRule="auto"/>
        <w:rPr>
          <w:sz w:val="18"/>
          <w:szCs w:val="18"/>
        </w:rPr>
      </w:pPr>
    </w:p>
    <w:bookmarkEnd w:id="1"/>
    <w:sectPr w:rsidR="00F01F0D" w:rsidSect="0023208F">
      <w:headerReference w:type="even" r:id="rId12"/>
      <w:headerReference w:type="default" r:id="rId13"/>
      <w:footerReference w:type="even" r:id="rId14"/>
      <w:footerReference w:type="default" r:id="rId15"/>
      <w:headerReference w:type="first" r:id="rId16"/>
      <w:footerReference w:type="first" r:id="rId17"/>
      <w:pgSz w:w="11906" w:h="16838"/>
      <w:pgMar w:top="1701"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ingoDos Regular">
    <w:panose1 w:val="020B0503040302020203"/>
    <w:charset w:val="00"/>
    <w:family w:val="swiss"/>
    <w:notTrueType/>
    <w:pitch w:val="variable"/>
    <w:sig w:usb0="A00000E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125" w14:textId="77777777" w:rsidR="00FB6271" w:rsidRDefault="00FB62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1474" w14:textId="77777777" w:rsidR="00FB6271" w:rsidRDefault="00FB62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E46F" w14:textId="77777777" w:rsidR="00FB6271" w:rsidRDefault="00FB62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D378" w14:textId="77777777" w:rsidR="00FB6271" w:rsidRDefault="00FB62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B3" w14:textId="456FD4FA" w:rsidR="0023208F" w:rsidRDefault="009A4BA8">
    <w:pPr>
      <w:pStyle w:val="Kopfzeile"/>
    </w:pPr>
    <w:r>
      <w:rPr>
        <w:noProof/>
      </w:rPr>
      <w:drawing>
        <wp:anchor distT="0" distB="0" distL="114300" distR="114300" simplePos="0" relativeHeight="251658240" behindDoc="1" locked="0" layoutInCell="1" allowOverlap="1" wp14:anchorId="4F9090B8" wp14:editId="08A9A144">
          <wp:simplePos x="0" y="0"/>
          <wp:positionH relativeFrom="page">
            <wp:align>right</wp:align>
          </wp:positionH>
          <wp:positionV relativeFrom="paragraph">
            <wp:posOffset>-450215</wp:posOffset>
          </wp:positionV>
          <wp:extent cx="7553325" cy="106837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6E4A5EFF" w:rsidR="0023208F" w:rsidRDefault="00AA649A" w:rsidP="009A4BA8">
    <w:pPr>
      <w:pStyle w:val="Kopfzeile"/>
      <w:tabs>
        <w:tab w:val="clear" w:pos="4536"/>
        <w:tab w:val="clear" w:pos="9072"/>
        <w:tab w:val="left" w:pos="1620"/>
        <w:tab w:val="left" w:pos="2760"/>
      </w:tabs>
    </w:pPr>
    <w:r>
      <w:rPr>
        <w:rFonts w:ascii="Arial" w:hAnsi="Arial" w:cs="Arial"/>
        <w:b/>
        <w:noProof/>
        <w:szCs w:val="28"/>
        <w:u w:val="single"/>
        <w:lang w:eastAsia="de-DE"/>
      </w:rPr>
      <w:drawing>
        <wp:anchor distT="0" distB="0" distL="114300" distR="114300" simplePos="0" relativeHeight="251660288" behindDoc="0" locked="0" layoutInCell="1" allowOverlap="1" wp14:anchorId="1DB2A436" wp14:editId="56DB3210">
          <wp:simplePos x="0" y="0"/>
          <wp:positionH relativeFrom="column">
            <wp:posOffset>47625</wp:posOffset>
          </wp:positionH>
          <wp:positionV relativeFrom="paragraph">
            <wp:posOffset>9525</wp:posOffset>
          </wp:positionV>
          <wp:extent cx="2063457" cy="470414"/>
          <wp:effectExtent l="19050" t="0" r="0" b="0"/>
          <wp:wrapNone/>
          <wp:docPr id="7" name="Bild 1" descr="Stgt mit Pf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t mit Pferd"/>
                  <pic:cNvPicPr>
                    <a:picLocks noChangeAspect="1" noChangeArrowheads="1"/>
                  </pic:cNvPicPr>
                </pic:nvPicPr>
                <pic:blipFill>
                  <a:blip r:embed="rId2" cstate="print"/>
                  <a:srcRect/>
                  <a:stretch>
                    <a:fillRect/>
                  </a:stretch>
                </pic:blipFill>
                <pic:spPr bwMode="auto">
                  <a:xfrm>
                    <a:off x="0" y="0"/>
                    <a:ext cx="2063457" cy="470414"/>
                  </a:xfrm>
                  <a:prstGeom prst="rect">
                    <a:avLst/>
                  </a:prstGeom>
                  <a:noFill/>
                  <a:ln w="9525">
                    <a:noFill/>
                    <a:miter lim="800000"/>
                    <a:headEnd/>
                    <a:tailEnd/>
                  </a:ln>
                </pic:spPr>
              </pic:pic>
            </a:graphicData>
          </a:graphic>
        </wp:anchor>
      </w:drawing>
    </w:r>
    <w:r w:rsidR="009A4BA8">
      <w:tab/>
    </w:r>
    <w:r w:rsidR="009A4BA8">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FBCE" w14:textId="77777777" w:rsidR="00FB6271" w:rsidRDefault="00FB62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663B7"/>
    <w:multiLevelType w:val="multilevel"/>
    <w:tmpl w:val="3AF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82349245">
    <w:abstractNumId w:val="3"/>
  </w:num>
  <w:num w:numId="2" w16cid:durableId="496845161">
    <w:abstractNumId w:val="8"/>
  </w:num>
  <w:num w:numId="3" w16cid:durableId="746343754">
    <w:abstractNumId w:val="2"/>
  </w:num>
  <w:num w:numId="4" w16cid:durableId="850415186">
    <w:abstractNumId w:val="1"/>
  </w:num>
  <w:num w:numId="5" w16cid:durableId="801922389">
    <w:abstractNumId w:val="4"/>
  </w:num>
  <w:num w:numId="6" w16cid:durableId="471488324">
    <w:abstractNumId w:val="5"/>
  </w:num>
  <w:num w:numId="7" w16cid:durableId="747263014">
    <w:abstractNumId w:val="0"/>
  </w:num>
  <w:num w:numId="8" w16cid:durableId="383992535">
    <w:abstractNumId w:val="7"/>
  </w:num>
  <w:num w:numId="9" w16cid:durableId="726613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54416"/>
    <w:rsid w:val="000E53C4"/>
    <w:rsid w:val="00155FEF"/>
    <w:rsid w:val="001A76B4"/>
    <w:rsid w:val="001E631A"/>
    <w:rsid w:val="00231E7F"/>
    <w:rsid w:val="002670F8"/>
    <w:rsid w:val="002816C5"/>
    <w:rsid w:val="00286569"/>
    <w:rsid w:val="00292418"/>
    <w:rsid w:val="002A5EBC"/>
    <w:rsid w:val="002F7E72"/>
    <w:rsid w:val="0033357E"/>
    <w:rsid w:val="00335E3C"/>
    <w:rsid w:val="00342840"/>
    <w:rsid w:val="003512B8"/>
    <w:rsid w:val="00356134"/>
    <w:rsid w:val="0039564C"/>
    <w:rsid w:val="003C279E"/>
    <w:rsid w:val="003E5788"/>
    <w:rsid w:val="0044548A"/>
    <w:rsid w:val="00463417"/>
    <w:rsid w:val="00537550"/>
    <w:rsid w:val="005A467D"/>
    <w:rsid w:val="005C004B"/>
    <w:rsid w:val="005C506C"/>
    <w:rsid w:val="005D164A"/>
    <w:rsid w:val="0064279E"/>
    <w:rsid w:val="006907E9"/>
    <w:rsid w:val="006A30B5"/>
    <w:rsid w:val="006D656E"/>
    <w:rsid w:val="006E4F31"/>
    <w:rsid w:val="006F3CDF"/>
    <w:rsid w:val="00734289"/>
    <w:rsid w:val="00760714"/>
    <w:rsid w:val="00765EE5"/>
    <w:rsid w:val="007B4B5B"/>
    <w:rsid w:val="007F6D26"/>
    <w:rsid w:val="0081387F"/>
    <w:rsid w:val="00926E21"/>
    <w:rsid w:val="00962734"/>
    <w:rsid w:val="00972C19"/>
    <w:rsid w:val="009A4BA8"/>
    <w:rsid w:val="009B32A9"/>
    <w:rsid w:val="009E4278"/>
    <w:rsid w:val="00A4551A"/>
    <w:rsid w:val="00AA649A"/>
    <w:rsid w:val="00AD2718"/>
    <w:rsid w:val="00AD462A"/>
    <w:rsid w:val="00AF6153"/>
    <w:rsid w:val="00B01C11"/>
    <w:rsid w:val="00B16B1F"/>
    <w:rsid w:val="00BB17A9"/>
    <w:rsid w:val="00BB3A39"/>
    <w:rsid w:val="00BE2837"/>
    <w:rsid w:val="00C62614"/>
    <w:rsid w:val="00C637F2"/>
    <w:rsid w:val="00CE59D1"/>
    <w:rsid w:val="00D01992"/>
    <w:rsid w:val="00E35C38"/>
    <w:rsid w:val="00E44D0C"/>
    <w:rsid w:val="00ED3B98"/>
    <w:rsid w:val="00EF52DD"/>
    <w:rsid w:val="00F01F0D"/>
    <w:rsid w:val="00F354FF"/>
    <w:rsid w:val="00F36D1A"/>
    <w:rsid w:val="00F4106E"/>
    <w:rsid w:val="00F465CE"/>
    <w:rsid w:val="00F83B8E"/>
    <w:rsid w:val="00FB6271"/>
    <w:rsid w:val="00FD4A27"/>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styleId="NichtaufgelsteErwhnung">
    <w:name w:val="Unresolved Mention"/>
    <w:basedOn w:val="Absatz-Standardschriftart"/>
    <w:uiPriority w:val="99"/>
    <w:semiHidden/>
    <w:unhideWhenUsed/>
    <w:rsid w:val="003E5788"/>
    <w:rPr>
      <w:color w:val="605E5C"/>
      <w:shd w:val="clear" w:color="auto" w:fill="E1DFDD"/>
    </w:rPr>
  </w:style>
  <w:style w:type="paragraph" w:customStyle="1" w:styleId="EUGFlietext">
    <w:name w:val="EUG Fließtext"/>
    <w:basedOn w:val="Standard"/>
    <w:uiPriority w:val="99"/>
    <w:rsid w:val="00AA649A"/>
    <w:pPr>
      <w:autoSpaceDE w:val="0"/>
      <w:autoSpaceDN w:val="0"/>
      <w:adjustRightInd w:val="0"/>
      <w:spacing w:after="0" w:line="240" w:lineRule="atLeast"/>
      <w:jc w:val="both"/>
      <w:textAlignment w:val="center"/>
    </w:pPr>
    <w:rPr>
      <w:rFonts w:ascii="CamingoDos Regular" w:hAnsi="CamingoDos Regular" w:cs="CamingoDos 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ssmann-berger.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g-realestate.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ttgart@eug-re.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ug-immobilien.de/datenschut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rmanpropertypartner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5</cp:revision>
  <cp:lastPrinted>2022-04-05T09:00:00Z</cp:lastPrinted>
  <dcterms:created xsi:type="dcterms:W3CDTF">2023-03-30T07:32:00Z</dcterms:created>
  <dcterms:modified xsi:type="dcterms:W3CDTF">2023-03-31T12:51:00Z</dcterms:modified>
</cp:coreProperties>
</file>